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56" w:rsidRPr="00354D2C" w:rsidRDefault="00AB7F56" w:rsidP="00C630F6">
      <w:pPr>
        <w:tabs>
          <w:tab w:val="left" w:pos="284"/>
        </w:tabs>
        <w:jc w:val="right"/>
        <w:rPr>
          <w:rFonts w:cs="Arial"/>
          <w:b/>
        </w:rPr>
      </w:pPr>
      <w:bookmarkStart w:id="0" w:name="_GoBack"/>
      <w:bookmarkEnd w:id="0"/>
      <w:r w:rsidRPr="00354D2C">
        <w:rPr>
          <w:rFonts w:cs="Arial"/>
          <w:b/>
        </w:rPr>
        <w:t>Appendix A</w:t>
      </w:r>
    </w:p>
    <w:p w:rsidR="00AB7F56" w:rsidRDefault="00AB7F56" w:rsidP="00C630F6">
      <w:pPr>
        <w:tabs>
          <w:tab w:val="left" w:pos="284"/>
        </w:tabs>
      </w:pPr>
    </w:p>
    <w:p w:rsidR="00AB7F56" w:rsidRDefault="00AB7F56" w:rsidP="00C630F6">
      <w:pPr>
        <w:tabs>
          <w:tab w:val="left" w:pos="284"/>
        </w:tabs>
      </w:pPr>
    </w:p>
    <w:p w:rsidR="00AB7F56" w:rsidRDefault="00AB7F56" w:rsidP="00C630F6">
      <w:pPr>
        <w:tabs>
          <w:tab w:val="left" w:pos="284"/>
        </w:tabs>
        <w:rPr>
          <w:rFonts w:cs="Arial"/>
          <w:b/>
          <w:sz w:val="36"/>
          <w:szCs w:val="36"/>
        </w:rPr>
      </w:pPr>
    </w:p>
    <w:p w:rsidR="00AB7F56" w:rsidRDefault="00AB7F56" w:rsidP="00C630F6">
      <w:pPr>
        <w:rPr>
          <w:rFonts w:cs="Arial"/>
          <w:b/>
          <w:sz w:val="36"/>
          <w:szCs w:val="36"/>
        </w:rPr>
      </w:pPr>
    </w:p>
    <w:p w:rsidR="00AB7F56" w:rsidRDefault="00AB7F56" w:rsidP="00C630F6">
      <w:pPr>
        <w:tabs>
          <w:tab w:val="left" w:pos="284"/>
        </w:tabs>
        <w:rPr>
          <w:rFonts w:cs="Arial"/>
          <w:b/>
          <w:sz w:val="36"/>
          <w:szCs w:val="36"/>
        </w:rPr>
      </w:pPr>
      <w:smartTag w:uri="urn:schemas-microsoft-com:office:smarttags" w:element="place">
        <w:r>
          <w:rPr>
            <w:rFonts w:cs="Arial"/>
            <w:b/>
            <w:sz w:val="36"/>
            <w:szCs w:val="36"/>
          </w:rPr>
          <w:t>Lancashire</w:t>
        </w:r>
      </w:smartTag>
      <w:r>
        <w:rPr>
          <w:rFonts w:cs="Arial"/>
          <w:b/>
          <w:sz w:val="36"/>
          <w:szCs w:val="36"/>
        </w:rPr>
        <w:t xml:space="preserve"> County Council</w:t>
      </w:r>
    </w:p>
    <w:p w:rsidR="00AB7F56" w:rsidRDefault="00AB7F56" w:rsidP="00C630F6">
      <w:pPr>
        <w:tabs>
          <w:tab w:val="left" w:pos="284"/>
        </w:tabs>
        <w:rPr>
          <w:rFonts w:cs="Arial"/>
          <w:b/>
          <w:sz w:val="36"/>
          <w:szCs w:val="36"/>
        </w:rPr>
      </w:pPr>
      <w:r>
        <w:rPr>
          <w:rFonts w:cs="Arial"/>
          <w:b/>
          <w:sz w:val="36"/>
          <w:szCs w:val="36"/>
        </w:rPr>
        <w:t>Internal Audit Service</w:t>
      </w:r>
    </w:p>
    <w:p w:rsidR="00AB7F56" w:rsidRDefault="00AB7F56" w:rsidP="00C630F6">
      <w:pPr>
        <w:tabs>
          <w:tab w:val="left" w:pos="284"/>
        </w:tabs>
        <w:rPr>
          <w:rFonts w:cs="Arial"/>
          <w:sz w:val="32"/>
          <w:szCs w:val="32"/>
        </w:rPr>
      </w:pPr>
    </w:p>
    <w:p w:rsidR="00AB7F56" w:rsidRDefault="00AB7F56" w:rsidP="00C630F6">
      <w:pPr>
        <w:tabs>
          <w:tab w:val="left" w:pos="284"/>
        </w:tabs>
        <w:rPr>
          <w:rFonts w:cs="Arial"/>
          <w:sz w:val="32"/>
          <w:szCs w:val="32"/>
        </w:rPr>
      </w:pPr>
    </w:p>
    <w:p w:rsidR="00AB7F56" w:rsidRDefault="00AB7F56" w:rsidP="00C630F6">
      <w:pPr>
        <w:tabs>
          <w:tab w:val="left" w:pos="284"/>
        </w:tabs>
        <w:rPr>
          <w:rFonts w:cs="Arial"/>
          <w:sz w:val="32"/>
          <w:szCs w:val="32"/>
        </w:rPr>
      </w:pPr>
    </w:p>
    <w:p w:rsidR="00AB7F56" w:rsidRDefault="00AB7F56" w:rsidP="00C630F6">
      <w:pPr>
        <w:tabs>
          <w:tab w:val="left" w:pos="284"/>
        </w:tabs>
        <w:rPr>
          <w:rFonts w:cs="Arial"/>
          <w:b/>
          <w:sz w:val="44"/>
          <w:szCs w:val="44"/>
        </w:rPr>
      </w:pPr>
      <w:r>
        <w:rPr>
          <w:rFonts w:cs="Arial"/>
          <w:b/>
          <w:sz w:val="44"/>
          <w:szCs w:val="44"/>
        </w:rPr>
        <w:t xml:space="preserve">Annual report of the </w:t>
      </w:r>
      <w:r w:rsidR="004E1EF5">
        <w:rPr>
          <w:rFonts w:cs="Arial"/>
          <w:b/>
          <w:sz w:val="44"/>
          <w:szCs w:val="44"/>
        </w:rPr>
        <w:t>Head of</w:t>
      </w:r>
      <w:r>
        <w:rPr>
          <w:rFonts w:cs="Arial"/>
          <w:b/>
          <w:sz w:val="44"/>
          <w:szCs w:val="44"/>
        </w:rPr>
        <w:t xml:space="preserve"> </w:t>
      </w:r>
      <w:r w:rsidR="00EA1D06">
        <w:rPr>
          <w:rFonts w:cs="Arial"/>
          <w:b/>
          <w:sz w:val="44"/>
          <w:szCs w:val="44"/>
        </w:rPr>
        <w:t>I</w:t>
      </w:r>
      <w:r>
        <w:rPr>
          <w:rFonts w:cs="Arial"/>
          <w:b/>
          <w:sz w:val="44"/>
          <w:szCs w:val="44"/>
        </w:rPr>
        <w:t xml:space="preserve">nternal </w:t>
      </w:r>
      <w:r w:rsidR="00EA1D06">
        <w:rPr>
          <w:rFonts w:cs="Arial"/>
          <w:b/>
          <w:sz w:val="44"/>
          <w:szCs w:val="44"/>
        </w:rPr>
        <w:t>A</w:t>
      </w:r>
      <w:r>
        <w:rPr>
          <w:rFonts w:cs="Arial"/>
          <w:b/>
          <w:sz w:val="44"/>
          <w:szCs w:val="44"/>
        </w:rPr>
        <w:t xml:space="preserve">udit </w:t>
      </w:r>
      <w:r w:rsidR="008B1E51">
        <w:rPr>
          <w:rFonts w:cs="Arial"/>
          <w:b/>
          <w:sz w:val="44"/>
          <w:szCs w:val="44"/>
        </w:rPr>
        <w:t>for the year ended 31 March 201</w:t>
      </w:r>
      <w:r w:rsidR="001D3962">
        <w:rPr>
          <w:rFonts w:cs="Arial"/>
          <w:b/>
          <w:sz w:val="44"/>
          <w:szCs w:val="44"/>
        </w:rPr>
        <w:t>5</w:t>
      </w:r>
    </w:p>
    <w:p w:rsidR="00AB7F56" w:rsidRDefault="00AB7F56" w:rsidP="00C630F6">
      <w:pPr>
        <w:tabs>
          <w:tab w:val="left" w:pos="284"/>
        </w:tabs>
        <w:rPr>
          <w:rFonts w:cs="Arial"/>
          <w:b/>
          <w:sz w:val="44"/>
          <w:szCs w:val="44"/>
        </w:rPr>
      </w:pPr>
    </w:p>
    <w:p w:rsidR="00AB7F56" w:rsidRDefault="00AB7F56" w:rsidP="00C630F6">
      <w:pPr>
        <w:tabs>
          <w:tab w:val="left" w:pos="284"/>
        </w:tabs>
        <w:rPr>
          <w:rFonts w:cs="Arial"/>
          <w:b/>
          <w:sz w:val="36"/>
          <w:szCs w:val="36"/>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s>
        <w:rPr>
          <w:rFonts w:cs="Arial"/>
        </w:rPr>
      </w:pPr>
    </w:p>
    <w:p w:rsidR="00AB7F56" w:rsidRDefault="00AB7F56" w:rsidP="00C630F6">
      <w:pPr>
        <w:tabs>
          <w:tab w:val="left" w:pos="284"/>
          <w:tab w:val="right" w:pos="7920"/>
        </w:tabs>
        <w:spacing w:before="120" w:after="120"/>
        <w:jc w:val="right"/>
        <w:rPr>
          <w:rFonts w:cs="Arial"/>
        </w:rPr>
        <w:sectPr w:rsidR="00AB7F56" w:rsidSect="00C630F6">
          <w:headerReference w:type="default" r:id="rId8"/>
          <w:footerReference w:type="even" r:id="rId9"/>
          <w:footerReference w:type="default" r:id="rId10"/>
          <w:headerReference w:type="first" r:id="rId11"/>
          <w:footerReference w:type="first" r:id="rId12"/>
          <w:pgSz w:w="11906" w:h="16838" w:code="9"/>
          <w:pgMar w:top="1259" w:right="1134" w:bottom="1258" w:left="1418" w:header="709" w:footer="752" w:gutter="0"/>
          <w:cols w:space="708"/>
          <w:titlePg/>
          <w:docGrid w:linePitch="360"/>
        </w:sectPr>
      </w:pPr>
      <w:r>
        <w:rPr>
          <w:rFonts w:cs="Arial"/>
          <w:b/>
          <w:position w:val="100"/>
          <w:sz w:val="28"/>
          <w:szCs w:val="28"/>
        </w:rPr>
        <w:tab/>
      </w:r>
      <w:r w:rsidR="00FE0866">
        <w:rPr>
          <w:rFonts w:cs="Arial"/>
          <w:noProof/>
        </w:rPr>
        <w:drawing>
          <wp:inline distT="0" distB="0" distL="0" distR="0">
            <wp:extent cx="2341880" cy="1181735"/>
            <wp:effectExtent l="19050" t="0" r="1270" b="0"/>
            <wp:docPr id="1" name="Picture 1" descr="LCC logo fo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for A4.JPG"/>
                    <pic:cNvPicPr>
                      <a:picLocks noChangeAspect="1" noChangeArrowheads="1"/>
                    </pic:cNvPicPr>
                  </pic:nvPicPr>
                  <pic:blipFill>
                    <a:blip r:embed="rId13"/>
                    <a:srcRect/>
                    <a:stretch>
                      <a:fillRect/>
                    </a:stretch>
                  </pic:blipFill>
                  <pic:spPr bwMode="auto">
                    <a:xfrm>
                      <a:off x="0" y="0"/>
                      <a:ext cx="2341880" cy="1181735"/>
                    </a:xfrm>
                    <a:prstGeom prst="rect">
                      <a:avLst/>
                    </a:prstGeom>
                    <a:noFill/>
                    <a:ln w="9525">
                      <a:noFill/>
                      <a:miter lim="800000"/>
                      <a:headEnd/>
                      <a:tailEnd/>
                    </a:ln>
                  </pic:spPr>
                </pic:pic>
              </a:graphicData>
            </a:graphic>
          </wp:inline>
        </w:drawing>
      </w:r>
    </w:p>
    <w:p w:rsidR="00AB7F56" w:rsidRDefault="00AB7F56" w:rsidP="00C630F6">
      <w:pPr>
        <w:tabs>
          <w:tab w:val="left" w:pos="284"/>
        </w:tabs>
        <w:spacing w:before="120" w:after="120"/>
        <w:rPr>
          <w:b/>
          <w:sz w:val="32"/>
          <w:szCs w:val="32"/>
        </w:rPr>
      </w:pPr>
    </w:p>
    <w:p w:rsidR="00AB7F56" w:rsidRDefault="00AB7F56" w:rsidP="00C630F6">
      <w:pPr>
        <w:tabs>
          <w:tab w:val="left" w:pos="284"/>
        </w:tabs>
        <w:spacing w:before="120" w:after="120"/>
        <w:rPr>
          <w:b/>
          <w:sz w:val="32"/>
          <w:szCs w:val="32"/>
        </w:rPr>
      </w:pPr>
    </w:p>
    <w:p w:rsidR="00AB7F56" w:rsidRDefault="00AB7F56" w:rsidP="00C630F6">
      <w:pPr>
        <w:tabs>
          <w:tab w:val="left" w:pos="284"/>
        </w:tabs>
        <w:spacing w:before="120" w:after="120"/>
        <w:rPr>
          <w:rFonts w:cs="Arial"/>
          <w:b/>
          <w:sz w:val="32"/>
          <w:szCs w:val="32"/>
        </w:rPr>
      </w:pPr>
      <w:r>
        <w:rPr>
          <w:rFonts w:cs="Arial"/>
          <w:b/>
          <w:sz w:val="32"/>
          <w:szCs w:val="32"/>
        </w:rPr>
        <w:t>Contents</w:t>
      </w:r>
    </w:p>
    <w:p w:rsidR="00AB7F56" w:rsidRDefault="00AB7F56" w:rsidP="00C630F6">
      <w:pPr>
        <w:tabs>
          <w:tab w:val="left" w:pos="284"/>
        </w:tabs>
        <w:spacing w:before="120" w:after="120"/>
        <w:rPr>
          <w:rFonts w:cs="Arial"/>
        </w:rPr>
      </w:pPr>
    </w:p>
    <w:tbl>
      <w:tblPr>
        <w:tblW w:w="0" w:type="auto"/>
        <w:tblLook w:val="01E0" w:firstRow="1" w:lastRow="1" w:firstColumn="1" w:lastColumn="1" w:noHBand="0" w:noVBand="0"/>
      </w:tblPr>
      <w:tblGrid>
        <w:gridCol w:w="611"/>
        <w:gridCol w:w="7435"/>
        <w:gridCol w:w="993"/>
      </w:tblGrid>
      <w:tr w:rsidR="003E44F1" w:rsidRPr="003E44F1" w:rsidTr="006A659E">
        <w:tc>
          <w:tcPr>
            <w:tcW w:w="8046" w:type="dxa"/>
            <w:gridSpan w:val="2"/>
          </w:tcPr>
          <w:p w:rsidR="00AB7F56" w:rsidRPr="003E44F1" w:rsidRDefault="00AB7F56" w:rsidP="00C630F6">
            <w:pPr>
              <w:tabs>
                <w:tab w:val="left" w:pos="284"/>
              </w:tabs>
              <w:spacing w:before="120" w:after="120"/>
              <w:rPr>
                <w:rFonts w:cs="Arial"/>
                <w:b/>
              </w:rPr>
            </w:pPr>
            <w:r w:rsidRPr="003E44F1">
              <w:rPr>
                <w:rFonts w:cs="Arial"/>
                <w:b/>
              </w:rPr>
              <w:t>Section</w:t>
            </w:r>
          </w:p>
        </w:tc>
        <w:tc>
          <w:tcPr>
            <w:tcW w:w="993" w:type="dxa"/>
          </w:tcPr>
          <w:p w:rsidR="00AB7F56" w:rsidRPr="008C3F7A" w:rsidRDefault="00AB7F56" w:rsidP="00C630F6">
            <w:pPr>
              <w:tabs>
                <w:tab w:val="left" w:pos="284"/>
              </w:tabs>
              <w:spacing w:before="120" w:after="120"/>
              <w:jc w:val="center"/>
              <w:rPr>
                <w:rFonts w:cs="Arial"/>
                <w:b/>
              </w:rPr>
            </w:pPr>
            <w:r w:rsidRPr="008C3F7A">
              <w:rPr>
                <w:rFonts w:cs="Arial"/>
                <w:b/>
              </w:rPr>
              <w:t>Page</w:t>
            </w:r>
          </w:p>
        </w:tc>
      </w:tr>
      <w:tr w:rsidR="003E44F1" w:rsidRPr="003E44F1" w:rsidTr="006A659E">
        <w:tc>
          <w:tcPr>
            <w:tcW w:w="611" w:type="dxa"/>
          </w:tcPr>
          <w:p w:rsidR="00AB7F56" w:rsidRPr="003E44F1" w:rsidRDefault="00AB7F56" w:rsidP="00C630F6">
            <w:pPr>
              <w:pStyle w:val="Heading1"/>
              <w:numPr>
                <w:ilvl w:val="0"/>
                <w:numId w:val="3"/>
              </w:numPr>
              <w:tabs>
                <w:tab w:val="left" w:pos="284"/>
              </w:tabs>
              <w:spacing w:before="120" w:after="120"/>
              <w:rPr>
                <w:rFonts w:ascii="Arial" w:hAnsi="Arial" w:cs="Arial"/>
                <w:b w:val="0"/>
                <w:sz w:val="24"/>
                <w:szCs w:val="24"/>
              </w:rPr>
            </w:pPr>
          </w:p>
        </w:tc>
        <w:tc>
          <w:tcPr>
            <w:tcW w:w="7435" w:type="dxa"/>
          </w:tcPr>
          <w:p w:rsidR="00AB7F56" w:rsidRPr="003E44F1" w:rsidRDefault="00AB7F56" w:rsidP="00C630F6">
            <w:pPr>
              <w:pStyle w:val="Heading1"/>
              <w:tabs>
                <w:tab w:val="left" w:pos="284"/>
              </w:tabs>
              <w:spacing w:before="120" w:after="120"/>
              <w:rPr>
                <w:rFonts w:ascii="Arial" w:hAnsi="Arial" w:cs="Arial"/>
                <w:b w:val="0"/>
                <w:sz w:val="24"/>
                <w:szCs w:val="24"/>
              </w:rPr>
            </w:pPr>
            <w:r w:rsidRPr="003E44F1">
              <w:rPr>
                <w:rFonts w:ascii="Arial" w:hAnsi="Arial" w:cs="Arial"/>
                <w:b w:val="0"/>
                <w:sz w:val="24"/>
                <w:szCs w:val="24"/>
              </w:rPr>
              <w:t>Introduction</w:t>
            </w:r>
          </w:p>
        </w:tc>
        <w:tc>
          <w:tcPr>
            <w:tcW w:w="993" w:type="dxa"/>
          </w:tcPr>
          <w:p w:rsidR="00AB7F56" w:rsidRPr="008C3F7A" w:rsidRDefault="008C3F7A" w:rsidP="00C630F6">
            <w:pPr>
              <w:pStyle w:val="Heading1"/>
              <w:tabs>
                <w:tab w:val="left" w:pos="284"/>
              </w:tabs>
              <w:spacing w:before="120" w:after="120"/>
              <w:jc w:val="center"/>
              <w:rPr>
                <w:rFonts w:ascii="Arial" w:hAnsi="Arial" w:cs="Arial"/>
                <w:b w:val="0"/>
                <w:sz w:val="24"/>
                <w:szCs w:val="24"/>
              </w:rPr>
            </w:pPr>
            <w:r w:rsidRPr="008C3F7A">
              <w:rPr>
                <w:rFonts w:ascii="Arial" w:hAnsi="Arial" w:cs="Arial"/>
                <w:b w:val="0"/>
                <w:sz w:val="24"/>
                <w:szCs w:val="24"/>
              </w:rPr>
              <w:t>1</w:t>
            </w:r>
          </w:p>
        </w:tc>
      </w:tr>
      <w:tr w:rsidR="003E44F1" w:rsidRPr="003E44F1" w:rsidTr="006A659E">
        <w:tc>
          <w:tcPr>
            <w:tcW w:w="611" w:type="dxa"/>
          </w:tcPr>
          <w:p w:rsidR="00AB7F56" w:rsidRPr="003E44F1" w:rsidRDefault="00AB7F56" w:rsidP="00C630F6">
            <w:pPr>
              <w:pStyle w:val="Heading1"/>
              <w:numPr>
                <w:ilvl w:val="0"/>
                <w:numId w:val="3"/>
              </w:numPr>
              <w:tabs>
                <w:tab w:val="left" w:pos="284"/>
              </w:tabs>
              <w:spacing w:before="120" w:after="120"/>
              <w:rPr>
                <w:rFonts w:ascii="Arial" w:hAnsi="Arial" w:cs="Arial"/>
                <w:b w:val="0"/>
                <w:sz w:val="24"/>
                <w:szCs w:val="24"/>
              </w:rPr>
            </w:pPr>
          </w:p>
        </w:tc>
        <w:tc>
          <w:tcPr>
            <w:tcW w:w="7435" w:type="dxa"/>
          </w:tcPr>
          <w:p w:rsidR="00AB7F56" w:rsidRPr="003E44F1" w:rsidRDefault="00E35CD6" w:rsidP="00C630F6">
            <w:pPr>
              <w:pStyle w:val="Heading1"/>
              <w:tabs>
                <w:tab w:val="left" w:pos="284"/>
              </w:tabs>
              <w:spacing w:before="120" w:after="120"/>
              <w:rPr>
                <w:rFonts w:ascii="Arial" w:hAnsi="Arial" w:cs="Arial"/>
                <w:b w:val="0"/>
                <w:sz w:val="24"/>
                <w:szCs w:val="24"/>
              </w:rPr>
            </w:pPr>
            <w:r w:rsidRPr="00E35CD6">
              <w:rPr>
                <w:rFonts w:ascii="Arial" w:hAnsi="Arial" w:cs="Arial"/>
                <w:b w:val="0"/>
                <w:sz w:val="24"/>
                <w:szCs w:val="24"/>
              </w:rPr>
              <w:t>Summary assessment of governance, risk management and internal control</w:t>
            </w:r>
          </w:p>
        </w:tc>
        <w:tc>
          <w:tcPr>
            <w:tcW w:w="993" w:type="dxa"/>
          </w:tcPr>
          <w:p w:rsidR="00AB7F56" w:rsidRPr="008C3F7A" w:rsidRDefault="008C3F7A" w:rsidP="00C630F6">
            <w:pPr>
              <w:pStyle w:val="Heading1"/>
              <w:tabs>
                <w:tab w:val="left" w:pos="284"/>
              </w:tabs>
              <w:spacing w:before="120" w:after="120"/>
              <w:jc w:val="center"/>
              <w:rPr>
                <w:rFonts w:ascii="Arial" w:hAnsi="Arial" w:cs="Arial"/>
                <w:b w:val="0"/>
                <w:sz w:val="24"/>
                <w:szCs w:val="24"/>
              </w:rPr>
            </w:pPr>
            <w:r w:rsidRPr="008C3F7A">
              <w:rPr>
                <w:rFonts w:ascii="Arial" w:hAnsi="Arial" w:cs="Arial"/>
                <w:b w:val="0"/>
                <w:sz w:val="24"/>
                <w:szCs w:val="24"/>
              </w:rPr>
              <w:t>2</w:t>
            </w:r>
          </w:p>
        </w:tc>
      </w:tr>
      <w:tr w:rsidR="003E44F1" w:rsidRPr="003E44F1" w:rsidTr="006A659E">
        <w:tc>
          <w:tcPr>
            <w:tcW w:w="611" w:type="dxa"/>
          </w:tcPr>
          <w:p w:rsidR="00AB7F56" w:rsidRPr="003E44F1" w:rsidRDefault="00AB7F56" w:rsidP="00C630F6">
            <w:pPr>
              <w:pStyle w:val="Heading1"/>
              <w:numPr>
                <w:ilvl w:val="0"/>
                <w:numId w:val="3"/>
              </w:numPr>
              <w:tabs>
                <w:tab w:val="left" w:pos="284"/>
              </w:tabs>
              <w:spacing w:before="120" w:after="120"/>
              <w:rPr>
                <w:rFonts w:ascii="Arial" w:hAnsi="Arial" w:cs="Arial"/>
                <w:b w:val="0"/>
                <w:sz w:val="24"/>
                <w:szCs w:val="24"/>
              </w:rPr>
            </w:pPr>
          </w:p>
        </w:tc>
        <w:tc>
          <w:tcPr>
            <w:tcW w:w="7435" w:type="dxa"/>
          </w:tcPr>
          <w:p w:rsidR="00AB7F56" w:rsidRPr="003E44F1" w:rsidRDefault="00E35CD6" w:rsidP="00C630F6">
            <w:pPr>
              <w:pStyle w:val="Heading1"/>
              <w:tabs>
                <w:tab w:val="left" w:pos="284"/>
              </w:tabs>
              <w:spacing w:before="120" w:after="120"/>
              <w:rPr>
                <w:rFonts w:ascii="Arial" w:hAnsi="Arial" w:cs="Arial"/>
                <w:b w:val="0"/>
                <w:sz w:val="24"/>
                <w:szCs w:val="24"/>
              </w:rPr>
            </w:pPr>
            <w:r w:rsidRPr="00E35CD6">
              <w:rPr>
                <w:rFonts w:ascii="Arial" w:hAnsi="Arial" w:cs="Arial"/>
                <w:b w:val="0"/>
                <w:sz w:val="24"/>
                <w:szCs w:val="24"/>
              </w:rPr>
              <w:t>Summary of the assurance provided by the Internal Audit Service</w:t>
            </w:r>
          </w:p>
        </w:tc>
        <w:tc>
          <w:tcPr>
            <w:tcW w:w="993" w:type="dxa"/>
          </w:tcPr>
          <w:p w:rsidR="00AB7F56" w:rsidRPr="008C3F7A" w:rsidRDefault="008C3F7A" w:rsidP="00C630F6">
            <w:pPr>
              <w:pStyle w:val="Heading1"/>
              <w:tabs>
                <w:tab w:val="left" w:pos="284"/>
              </w:tabs>
              <w:spacing w:before="120" w:after="120"/>
              <w:jc w:val="center"/>
              <w:rPr>
                <w:rFonts w:ascii="Arial" w:hAnsi="Arial" w:cs="Arial"/>
                <w:b w:val="0"/>
                <w:sz w:val="24"/>
                <w:szCs w:val="24"/>
              </w:rPr>
            </w:pPr>
            <w:r w:rsidRPr="008C3F7A">
              <w:rPr>
                <w:rFonts w:ascii="Arial" w:hAnsi="Arial" w:cs="Arial"/>
                <w:b w:val="0"/>
                <w:sz w:val="24"/>
                <w:szCs w:val="24"/>
              </w:rPr>
              <w:t>4</w:t>
            </w:r>
          </w:p>
        </w:tc>
      </w:tr>
      <w:tr w:rsidR="003E44F1" w:rsidRPr="003E44F1" w:rsidTr="006A659E">
        <w:tc>
          <w:tcPr>
            <w:tcW w:w="611" w:type="dxa"/>
          </w:tcPr>
          <w:p w:rsidR="00AB7F56" w:rsidRPr="003E44F1" w:rsidRDefault="00AB7F56" w:rsidP="004C3855">
            <w:pPr>
              <w:pStyle w:val="Heading1"/>
              <w:numPr>
                <w:ilvl w:val="0"/>
                <w:numId w:val="3"/>
              </w:numPr>
              <w:tabs>
                <w:tab w:val="left" w:pos="284"/>
              </w:tabs>
              <w:spacing w:before="120" w:after="120"/>
              <w:rPr>
                <w:rFonts w:ascii="Arial" w:hAnsi="Arial" w:cs="Arial"/>
                <w:b w:val="0"/>
                <w:sz w:val="24"/>
                <w:szCs w:val="24"/>
              </w:rPr>
            </w:pPr>
          </w:p>
        </w:tc>
        <w:tc>
          <w:tcPr>
            <w:tcW w:w="7435" w:type="dxa"/>
          </w:tcPr>
          <w:p w:rsidR="00AB7F56" w:rsidRPr="003E44F1" w:rsidRDefault="00E35CD6" w:rsidP="00C630F6">
            <w:pPr>
              <w:pStyle w:val="Heading1"/>
              <w:tabs>
                <w:tab w:val="left" w:pos="284"/>
              </w:tabs>
              <w:spacing w:before="120" w:after="120" w:line="260" w:lineRule="atLeast"/>
              <w:rPr>
                <w:rFonts w:ascii="Arial" w:hAnsi="Arial" w:cs="Arial"/>
                <w:b w:val="0"/>
                <w:sz w:val="24"/>
                <w:szCs w:val="24"/>
              </w:rPr>
            </w:pPr>
            <w:r>
              <w:rPr>
                <w:rFonts w:ascii="Arial" w:hAnsi="Arial" w:cs="Arial"/>
                <w:b w:val="0"/>
                <w:sz w:val="24"/>
                <w:szCs w:val="24"/>
              </w:rPr>
              <w:t>Key issues and themes</w:t>
            </w:r>
          </w:p>
        </w:tc>
        <w:tc>
          <w:tcPr>
            <w:tcW w:w="993" w:type="dxa"/>
          </w:tcPr>
          <w:p w:rsidR="00AB7F56" w:rsidRPr="008C3F7A" w:rsidRDefault="008C3F7A" w:rsidP="00C630F6">
            <w:pPr>
              <w:pStyle w:val="Heading1"/>
              <w:tabs>
                <w:tab w:val="left" w:pos="284"/>
              </w:tabs>
              <w:spacing w:before="120" w:after="120" w:line="260" w:lineRule="atLeast"/>
              <w:jc w:val="center"/>
              <w:rPr>
                <w:rFonts w:ascii="Arial" w:hAnsi="Arial" w:cs="Arial"/>
                <w:b w:val="0"/>
                <w:sz w:val="24"/>
                <w:szCs w:val="24"/>
              </w:rPr>
            </w:pPr>
            <w:r w:rsidRPr="008C3F7A">
              <w:rPr>
                <w:rFonts w:ascii="Arial" w:hAnsi="Arial" w:cs="Arial"/>
                <w:b w:val="0"/>
                <w:sz w:val="24"/>
                <w:szCs w:val="24"/>
              </w:rPr>
              <w:t>5</w:t>
            </w:r>
          </w:p>
        </w:tc>
      </w:tr>
      <w:tr w:rsidR="00E35CD6" w:rsidRPr="003E44F1" w:rsidTr="006A659E">
        <w:tc>
          <w:tcPr>
            <w:tcW w:w="611" w:type="dxa"/>
          </w:tcPr>
          <w:p w:rsidR="00E35CD6" w:rsidRPr="003E44F1" w:rsidRDefault="00E35CD6" w:rsidP="004C3855">
            <w:pPr>
              <w:pStyle w:val="Heading1"/>
              <w:numPr>
                <w:ilvl w:val="0"/>
                <w:numId w:val="3"/>
              </w:numPr>
              <w:tabs>
                <w:tab w:val="left" w:pos="284"/>
              </w:tabs>
              <w:spacing w:before="120" w:after="120"/>
              <w:rPr>
                <w:rFonts w:ascii="Arial" w:hAnsi="Arial" w:cs="Arial"/>
                <w:b w:val="0"/>
                <w:sz w:val="24"/>
                <w:szCs w:val="24"/>
              </w:rPr>
            </w:pPr>
          </w:p>
        </w:tc>
        <w:tc>
          <w:tcPr>
            <w:tcW w:w="7435" w:type="dxa"/>
          </w:tcPr>
          <w:p w:rsidR="00E35CD6" w:rsidRPr="003E44F1" w:rsidRDefault="00E35CD6" w:rsidP="00C630F6">
            <w:pPr>
              <w:pStyle w:val="Heading1"/>
              <w:tabs>
                <w:tab w:val="left" w:pos="284"/>
              </w:tabs>
              <w:spacing w:before="120" w:after="120" w:line="260" w:lineRule="atLeast"/>
              <w:rPr>
                <w:rFonts w:ascii="Arial" w:hAnsi="Arial" w:cs="Arial"/>
                <w:b w:val="0"/>
                <w:sz w:val="24"/>
                <w:szCs w:val="24"/>
              </w:rPr>
            </w:pPr>
            <w:r w:rsidRPr="003E44F1">
              <w:rPr>
                <w:rFonts w:ascii="Arial" w:hAnsi="Arial" w:cs="Arial"/>
                <w:b w:val="0"/>
                <w:sz w:val="24"/>
                <w:szCs w:val="24"/>
              </w:rPr>
              <w:t>Implications for the annual governance statement</w:t>
            </w:r>
          </w:p>
        </w:tc>
        <w:tc>
          <w:tcPr>
            <w:tcW w:w="993" w:type="dxa"/>
          </w:tcPr>
          <w:p w:rsidR="00E35CD6" w:rsidRPr="008C3F7A" w:rsidRDefault="008C3F7A" w:rsidP="00C630F6">
            <w:pPr>
              <w:pStyle w:val="Heading1"/>
              <w:tabs>
                <w:tab w:val="left" w:pos="284"/>
              </w:tabs>
              <w:spacing w:before="120" w:after="120" w:line="260" w:lineRule="atLeast"/>
              <w:jc w:val="center"/>
              <w:rPr>
                <w:rFonts w:ascii="Arial" w:hAnsi="Arial" w:cs="Arial"/>
                <w:b w:val="0"/>
                <w:sz w:val="24"/>
                <w:szCs w:val="24"/>
              </w:rPr>
            </w:pPr>
            <w:r w:rsidRPr="008C3F7A">
              <w:rPr>
                <w:rFonts w:ascii="Arial" w:hAnsi="Arial" w:cs="Arial"/>
                <w:b w:val="0"/>
                <w:sz w:val="24"/>
                <w:szCs w:val="24"/>
              </w:rPr>
              <w:t>5</w:t>
            </w:r>
          </w:p>
        </w:tc>
      </w:tr>
      <w:tr w:rsidR="00D32DF3" w:rsidRPr="003E44F1" w:rsidTr="006A659E">
        <w:tc>
          <w:tcPr>
            <w:tcW w:w="611" w:type="dxa"/>
          </w:tcPr>
          <w:p w:rsidR="00D32DF3" w:rsidRPr="003E44F1" w:rsidRDefault="00D32DF3" w:rsidP="004C3855">
            <w:pPr>
              <w:pStyle w:val="Heading1"/>
              <w:numPr>
                <w:ilvl w:val="0"/>
                <w:numId w:val="3"/>
              </w:numPr>
              <w:tabs>
                <w:tab w:val="left" w:pos="284"/>
              </w:tabs>
              <w:spacing w:before="120" w:after="120"/>
              <w:rPr>
                <w:rFonts w:ascii="Arial" w:hAnsi="Arial" w:cs="Arial"/>
                <w:b w:val="0"/>
                <w:sz w:val="24"/>
                <w:szCs w:val="24"/>
              </w:rPr>
            </w:pPr>
          </w:p>
        </w:tc>
        <w:tc>
          <w:tcPr>
            <w:tcW w:w="7435" w:type="dxa"/>
          </w:tcPr>
          <w:p w:rsidR="00D32DF3" w:rsidRPr="003E44F1" w:rsidRDefault="00D32DF3" w:rsidP="00C630F6">
            <w:pPr>
              <w:pStyle w:val="Heading1"/>
              <w:tabs>
                <w:tab w:val="left" w:pos="284"/>
              </w:tabs>
              <w:spacing w:before="120" w:after="120" w:line="260" w:lineRule="atLeast"/>
              <w:rPr>
                <w:rFonts w:ascii="Arial" w:hAnsi="Arial" w:cs="Arial"/>
                <w:b w:val="0"/>
                <w:sz w:val="24"/>
                <w:szCs w:val="24"/>
              </w:rPr>
            </w:pPr>
            <w:r w:rsidRPr="00D32DF3">
              <w:rPr>
                <w:rFonts w:ascii="Arial" w:hAnsi="Arial" w:cs="Arial"/>
                <w:b w:val="0"/>
                <w:sz w:val="24"/>
                <w:szCs w:val="24"/>
              </w:rPr>
              <w:t>Internal audit quality assurance and improvement</w:t>
            </w:r>
          </w:p>
        </w:tc>
        <w:tc>
          <w:tcPr>
            <w:tcW w:w="993" w:type="dxa"/>
          </w:tcPr>
          <w:p w:rsidR="00D32DF3" w:rsidRPr="008C3F7A" w:rsidRDefault="008C3F7A" w:rsidP="00C630F6">
            <w:pPr>
              <w:pStyle w:val="Heading1"/>
              <w:tabs>
                <w:tab w:val="left" w:pos="284"/>
              </w:tabs>
              <w:spacing w:before="120" w:after="120" w:line="260" w:lineRule="atLeast"/>
              <w:jc w:val="center"/>
              <w:rPr>
                <w:rFonts w:ascii="Arial" w:hAnsi="Arial" w:cs="Arial"/>
                <w:b w:val="0"/>
                <w:sz w:val="24"/>
                <w:szCs w:val="24"/>
              </w:rPr>
            </w:pPr>
            <w:r w:rsidRPr="008C3F7A">
              <w:rPr>
                <w:rFonts w:ascii="Arial" w:hAnsi="Arial" w:cs="Arial"/>
                <w:b w:val="0"/>
                <w:sz w:val="24"/>
                <w:szCs w:val="24"/>
              </w:rPr>
              <w:t>5</w:t>
            </w:r>
          </w:p>
        </w:tc>
      </w:tr>
      <w:tr w:rsidR="003E44F1" w:rsidRPr="003E44F1" w:rsidTr="00F77F58">
        <w:tc>
          <w:tcPr>
            <w:tcW w:w="9039" w:type="dxa"/>
            <w:gridSpan w:val="3"/>
          </w:tcPr>
          <w:p w:rsidR="00F77F58" w:rsidRPr="00D32DF3" w:rsidRDefault="00F77F58" w:rsidP="00D32DF3">
            <w:pPr>
              <w:pStyle w:val="Heading1"/>
              <w:tabs>
                <w:tab w:val="left" w:pos="284"/>
              </w:tabs>
              <w:spacing w:before="120" w:after="120" w:line="260" w:lineRule="atLeast"/>
              <w:rPr>
                <w:rFonts w:ascii="Arial" w:hAnsi="Arial" w:cs="Arial"/>
                <w:b w:val="0"/>
                <w:sz w:val="24"/>
                <w:szCs w:val="24"/>
              </w:rPr>
            </w:pPr>
          </w:p>
        </w:tc>
      </w:tr>
      <w:tr w:rsidR="003E44F1" w:rsidRPr="003E44F1" w:rsidTr="00F738A9">
        <w:tc>
          <w:tcPr>
            <w:tcW w:w="9039" w:type="dxa"/>
            <w:gridSpan w:val="3"/>
          </w:tcPr>
          <w:p w:rsidR="00A82AF5" w:rsidRPr="003E44F1" w:rsidRDefault="00A82AF5" w:rsidP="00FE386C">
            <w:pPr>
              <w:pStyle w:val="BodyText"/>
              <w:tabs>
                <w:tab w:val="left" w:pos="284"/>
              </w:tabs>
              <w:spacing w:before="120" w:after="120"/>
              <w:rPr>
                <w:b/>
                <w:sz w:val="28"/>
                <w:szCs w:val="28"/>
              </w:rPr>
            </w:pPr>
            <w:r w:rsidRPr="003E44F1">
              <w:rPr>
                <w:rFonts w:cs="Arial"/>
                <w:kern w:val="28"/>
              </w:rPr>
              <w:t xml:space="preserve">Annex </w:t>
            </w:r>
            <w:r w:rsidR="00FE386C">
              <w:rPr>
                <w:rFonts w:cs="Arial"/>
                <w:kern w:val="28"/>
              </w:rPr>
              <w:t>A</w:t>
            </w:r>
            <w:r w:rsidRPr="003E44F1">
              <w:rPr>
                <w:rFonts w:cs="Arial"/>
                <w:kern w:val="28"/>
              </w:rPr>
              <w:t>: Summary of internal audit assurance assignments 201</w:t>
            </w:r>
            <w:r w:rsidR="001D3962">
              <w:rPr>
                <w:rFonts w:cs="Arial"/>
                <w:kern w:val="28"/>
              </w:rPr>
              <w:t>4</w:t>
            </w:r>
            <w:r w:rsidRPr="003E44F1">
              <w:rPr>
                <w:rFonts w:cs="Arial"/>
                <w:kern w:val="28"/>
              </w:rPr>
              <w:t>/1</w:t>
            </w:r>
            <w:r w:rsidR="001D3962">
              <w:rPr>
                <w:rFonts w:cs="Arial"/>
                <w:kern w:val="28"/>
              </w:rPr>
              <w:t>5</w:t>
            </w:r>
          </w:p>
        </w:tc>
      </w:tr>
      <w:tr w:rsidR="00E60758" w:rsidRPr="00E60758" w:rsidTr="00D77466">
        <w:tc>
          <w:tcPr>
            <w:tcW w:w="9039" w:type="dxa"/>
            <w:gridSpan w:val="3"/>
          </w:tcPr>
          <w:p w:rsidR="00E60758" w:rsidRPr="00E60758" w:rsidRDefault="00E60758" w:rsidP="00FE386C">
            <w:pPr>
              <w:pStyle w:val="BodyText"/>
              <w:tabs>
                <w:tab w:val="left" w:pos="284"/>
              </w:tabs>
              <w:spacing w:before="120" w:after="120"/>
              <w:rPr>
                <w:rFonts w:cs="Arial"/>
                <w:kern w:val="28"/>
              </w:rPr>
            </w:pPr>
            <w:r w:rsidRPr="00E60758">
              <w:rPr>
                <w:rFonts w:cs="Arial"/>
                <w:kern w:val="28"/>
              </w:rPr>
              <w:t xml:space="preserve">Annex </w:t>
            </w:r>
            <w:r w:rsidR="00FE386C">
              <w:rPr>
                <w:rFonts w:cs="Arial"/>
                <w:kern w:val="28"/>
              </w:rPr>
              <w:t>B</w:t>
            </w:r>
            <w:r w:rsidRPr="00E60758">
              <w:rPr>
                <w:rFonts w:cs="Arial"/>
                <w:kern w:val="28"/>
              </w:rPr>
              <w:t xml:space="preserve">: Detailed </w:t>
            </w:r>
            <w:r>
              <w:rPr>
                <w:rFonts w:cs="Arial"/>
                <w:kern w:val="28"/>
              </w:rPr>
              <w:t>findings</w:t>
            </w:r>
            <w:r w:rsidRPr="00E60758">
              <w:rPr>
                <w:rFonts w:cs="Arial"/>
                <w:kern w:val="28"/>
              </w:rPr>
              <w:t xml:space="preserve"> of internal audit assurance assignments 2014/15</w:t>
            </w:r>
          </w:p>
        </w:tc>
      </w:tr>
      <w:tr w:rsidR="00FE386C" w:rsidRPr="00E60758" w:rsidTr="00D06581">
        <w:tc>
          <w:tcPr>
            <w:tcW w:w="9039" w:type="dxa"/>
            <w:gridSpan w:val="3"/>
          </w:tcPr>
          <w:p w:rsidR="00FE386C" w:rsidRPr="00E60758" w:rsidRDefault="00FE386C" w:rsidP="00D06581">
            <w:pPr>
              <w:pStyle w:val="BodyText"/>
              <w:tabs>
                <w:tab w:val="left" w:pos="284"/>
              </w:tabs>
              <w:spacing w:before="120" w:after="120"/>
              <w:rPr>
                <w:rFonts w:cs="Arial"/>
                <w:kern w:val="28"/>
              </w:rPr>
            </w:pPr>
            <w:r>
              <w:rPr>
                <w:rFonts w:cs="Arial"/>
                <w:kern w:val="28"/>
              </w:rPr>
              <w:t>Annex C</w:t>
            </w:r>
            <w:r w:rsidRPr="00E60758">
              <w:rPr>
                <w:rFonts w:cs="Arial"/>
                <w:kern w:val="28"/>
              </w:rPr>
              <w:t xml:space="preserve">: Audit assurance levels and classification of agreed actions </w:t>
            </w:r>
          </w:p>
        </w:tc>
      </w:tr>
      <w:tr w:rsidR="003E44F1" w:rsidRPr="003E44F1" w:rsidTr="00F77F58">
        <w:tc>
          <w:tcPr>
            <w:tcW w:w="9039" w:type="dxa"/>
            <w:gridSpan w:val="3"/>
          </w:tcPr>
          <w:p w:rsidR="00F852D1" w:rsidRPr="003E44F1" w:rsidRDefault="00A82AF5" w:rsidP="00E60758">
            <w:pPr>
              <w:pStyle w:val="BodyText"/>
              <w:tabs>
                <w:tab w:val="left" w:pos="284"/>
              </w:tabs>
              <w:spacing w:before="120" w:after="120"/>
              <w:rPr>
                <w:rFonts w:cs="Arial"/>
                <w:kern w:val="28"/>
              </w:rPr>
            </w:pPr>
            <w:r w:rsidRPr="003E44F1">
              <w:rPr>
                <w:rFonts w:cs="Arial"/>
                <w:kern w:val="28"/>
              </w:rPr>
              <w:t xml:space="preserve">Annex </w:t>
            </w:r>
            <w:r w:rsidR="00E60758">
              <w:rPr>
                <w:rFonts w:cs="Arial"/>
                <w:kern w:val="28"/>
              </w:rPr>
              <w:t>D</w:t>
            </w:r>
            <w:r w:rsidR="00F852D1" w:rsidRPr="003E44F1">
              <w:rPr>
                <w:rFonts w:cs="Arial"/>
                <w:kern w:val="28"/>
              </w:rPr>
              <w:t xml:space="preserve">: </w:t>
            </w:r>
            <w:r w:rsidR="0088598C" w:rsidRPr="003E44F1">
              <w:rPr>
                <w:rFonts w:cs="Arial"/>
                <w:kern w:val="28"/>
              </w:rPr>
              <w:t>Scope, responsibilities and assurance</w:t>
            </w:r>
          </w:p>
        </w:tc>
      </w:tr>
    </w:tbl>
    <w:p w:rsidR="00AB7F56" w:rsidRDefault="00AB7F56" w:rsidP="00C630F6">
      <w:pPr>
        <w:tabs>
          <w:tab w:val="left" w:pos="284"/>
          <w:tab w:val="right" w:pos="7920"/>
        </w:tabs>
        <w:spacing w:before="120" w:after="120"/>
        <w:rPr>
          <w:rFonts w:cs="Arial"/>
          <w:b/>
        </w:rPr>
      </w:pPr>
    </w:p>
    <w:p w:rsidR="00AB7F56" w:rsidRDefault="00AB7F56" w:rsidP="00C630F6">
      <w:pPr>
        <w:tabs>
          <w:tab w:val="left" w:pos="284"/>
          <w:tab w:val="right" w:pos="7920"/>
        </w:tabs>
        <w:spacing w:before="120" w:after="120"/>
        <w:rPr>
          <w:rFonts w:cs="Arial"/>
          <w:b/>
        </w:rPr>
      </w:pPr>
    </w:p>
    <w:p w:rsidR="00AB7F56" w:rsidRDefault="00AB7F56" w:rsidP="00C630F6">
      <w:pPr>
        <w:tabs>
          <w:tab w:val="left" w:pos="284"/>
          <w:tab w:val="right" w:pos="7920"/>
        </w:tabs>
        <w:spacing w:before="120" w:after="120"/>
        <w:rPr>
          <w:rFonts w:cs="Arial"/>
          <w:b/>
        </w:rPr>
        <w:sectPr w:rsidR="00AB7F56" w:rsidSect="00C630F6">
          <w:headerReference w:type="first" r:id="rId14"/>
          <w:footerReference w:type="first" r:id="rId15"/>
          <w:pgSz w:w="11906" w:h="16838" w:code="9"/>
          <w:pgMar w:top="1259" w:right="1134" w:bottom="1258" w:left="1418" w:header="709" w:footer="752" w:gutter="0"/>
          <w:cols w:space="708"/>
          <w:titlePg/>
          <w:docGrid w:linePitch="360"/>
        </w:sectPr>
      </w:pPr>
    </w:p>
    <w:p w:rsidR="00AB7F56" w:rsidRDefault="00AB7F56" w:rsidP="002C69C9">
      <w:pPr>
        <w:pStyle w:val="Heading1"/>
        <w:numPr>
          <w:ilvl w:val="0"/>
          <w:numId w:val="1"/>
        </w:numPr>
        <w:spacing w:after="120"/>
        <w:rPr>
          <w:rFonts w:ascii="Arial" w:hAnsi="Arial" w:cs="Arial"/>
          <w:bCs w:val="0"/>
        </w:rPr>
      </w:pPr>
      <w:bookmarkStart w:id="1" w:name="Introduction"/>
      <w:r>
        <w:rPr>
          <w:rFonts w:ascii="Arial" w:hAnsi="Arial" w:cs="Arial"/>
        </w:rPr>
        <w:lastRenderedPageBreak/>
        <w:t>Introduction</w:t>
      </w:r>
    </w:p>
    <w:bookmarkEnd w:id="1"/>
    <w:p w:rsidR="00AB7F56" w:rsidRDefault="00AB7F56" w:rsidP="00C630F6">
      <w:pPr>
        <w:pStyle w:val="Heading3"/>
        <w:tabs>
          <w:tab w:val="left" w:pos="284"/>
        </w:tabs>
        <w:spacing w:after="120"/>
        <w:rPr>
          <w:rFonts w:ascii="Arial" w:hAnsi="Arial" w:cs="Arial"/>
          <w:bCs w:val="0"/>
        </w:rPr>
      </w:pPr>
      <w:r>
        <w:rPr>
          <w:rFonts w:ascii="Arial" w:hAnsi="Arial" w:cs="Arial"/>
        </w:rPr>
        <w:t>Purpose of this report</w:t>
      </w:r>
      <w:r w:rsidR="00F450D3">
        <w:rPr>
          <w:rFonts w:ascii="Arial" w:hAnsi="Arial" w:cs="Arial"/>
        </w:rPr>
        <w:t xml:space="preserve"> and the </w:t>
      </w:r>
      <w:r w:rsidR="00F450D3" w:rsidRPr="00E1443F">
        <w:rPr>
          <w:rFonts w:ascii="Arial" w:hAnsi="Arial" w:cs="Arial"/>
        </w:rPr>
        <w:t>role of internal audit</w:t>
      </w:r>
    </w:p>
    <w:p w:rsidR="007A799C" w:rsidRDefault="007A799C" w:rsidP="007A799C">
      <w:pPr>
        <w:numPr>
          <w:ilvl w:val="1"/>
          <w:numId w:val="1"/>
        </w:numPr>
        <w:spacing w:before="120" w:after="120"/>
      </w:pPr>
      <w:r w:rsidRPr="007A799C">
        <w:t xml:space="preserve">Internal auditing is </w:t>
      </w:r>
      <w:r w:rsidR="00CB6655">
        <w:t>defined by the Chartered Institute of Internal Auditors as "</w:t>
      </w:r>
      <w:r w:rsidRPr="007A799C">
        <w:t>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r w:rsidR="00CB6655">
        <w:t>"</w:t>
      </w:r>
      <w:r w:rsidRPr="007A799C">
        <w:t>.</w:t>
      </w:r>
      <w:r>
        <w:t xml:space="preserve"> </w:t>
      </w:r>
      <w:r w:rsidR="00CB6655">
        <w:t>Driven by this, t</w:t>
      </w:r>
      <w:r>
        <w:t xml:space="preserve">he Public Sector Internal Audit Standards require the head of internal audit to provide an opinion on the </w:t>
      </w:r>
      <w:r w:rsidRPr="00F450D3">
        <w:t>overall adequacy and effectiveness of the council's framework of governance, risk management and control</w:t>
      </w:r>
      <w:r>
        <w:t>, and a report to those charged with governance, timed to support the annual governance statement.</w:t>
      </w:r>
    </w:p>
    <w:p w:rsidR="00712B69" w:rsidRPr="00712B69" w:rsidRDefault="00712B69" w:rsidP="00003B9F">
      <w:pPr>
        <w:numPr>
          <w:ilvl w:val="1"/>
          <w:numId w:val="1"/>
        </w:numPr>
        <w:spacing w:before="120" w:after="120"/>
      </w:pPr>
      <w:r>
        <w:t>This report</w:t>
      </w:r>
      <w:r>
        <w:rPr>
          <w:rFonts w:cs="Arial"/>
        </w:rPr>
        <w:t xml:space="preserve"> </w:t>
      </w:r>
      <w:r>
        <w:t xml:space="preserve">summarises the work that the county council's Internal Audit Service undertook during 2014/15 and </w:t>
      </w:r>
      <w:r>
        <w:rPr>
          <w:rFonts w:cs="Arial"/>
        </w:rPr>
        <w:t xml:space="preserve">is made in accordance with the </w:t>
      </w:r>
      <w:r w:rsidRPr="004C4FC5">
        <w:rPr>
          <w:rFonts w:cs="Arial"/>
        </w:rPr>
        <w:t>Public Sector Internal Audit Standards issued by the Chartered Institute of Public Finance and Accountancy (</w:t>
      </w:r>
      <w:r w:rsidRPr="001137E0">
        <w:rPr>
          <w:rFonts w:cs="Arial"/>
        </w:rPr>
        <w:t xml:space="preserve">CIPFA) and the Chartered </w:t>
      </w:r>
      <w:r w:rsidR="00394CB9">
        <w:rPr>
          <w:rFonts w:cs="Arial"/>
        </w:rPr>
        <w:t>Institute of Internal Auditors</w:t>
      </w:r>
      <w:r w:rsidRPr="001137E0">
        <w:rPr>
          <w:rFonts w:cs="Arial"/>
        </w:rPr>
        <w:t>. Except for the issue set out in the following paragraph, the Internal Audit Service conforms to these</w:t>
      </w:r>
      <w:r>
        <w:rPr>
          <w:rFonts w:cs="Arial"/>
        </w:rPr>
        <w:t xml:space="preserve"> Standards.</w:t>
      </w:r>
    </w:p>
    <w:p w:rsidR="00F450D3" w:rsidRDefault="00712B69" w:rsidP="00003B9F">
      <w:pPr>
        <w:numPr>
          <w:ilvl w:val="1"/>
          <w:numId w:val="1"/>
        </w:numPr>
        <w:spacing w:before="120" w:after="120"/>
      </w:pPr>
      <w:r>
        <w:t>T</w:t>
      </w:r>
      <w:r w:rsidR="00A723C2">
        <w:t xml:space="preserve">he </w:t>
      </w:r>
      <w:r w:rsidR="007A799C">
        <w:t xml:space="preserve">draft </w:t>
      </w:r>
      <w:r>
        <w:t>i</w:t>
      </w:r>
      <w:r w:rsidR="00A723C2">
        <w:t xml:space="preserve">nternal </w:t>
      </w:r>
      <w:r>
        <w:t>a</w:t>
      </w:r>
      <w:r w:rsidR="00A723C2">
        <w:t xml:space="preserve">udit </w:t>
      </w:r>
      <w:r w:rsidR="00E1341E">
        <w:t>plan for 2014/15</w:t>
      </w:r>
      <w:r>
        <w:t xml:space="preserve"> was approved by the Audit and Governance Committee in June 2014 and </w:t>
      </w:r>
      <w:r w:rsidR="00003B9F">
        <w:t>revised in September 2014 at management's direction</w:t>
      </w:r>
      <w:r w:rsidR="00A723C2">
        <w:t>.</w:t>
      </w:r>
      <w:r w:rsidR="00D32DF3">
        <w:t xml:space="preserve"> </w:t>
      </w:r>
      <w:r w:rsidR="00F450D3">
        <w:t>However t</w:t>
      </w:r>
      <w:r w:rsidR="00D32DF3">
        <w:t>h</w:t>
      </w:r>
      <w:r w:rsidR="0018461B">
        <w:t xml:space="preserve">is revised plan was not </w:t>
      </w:r>
      <w:r>
        <w:t xml:space="preserve">capable of </w:t>
      </w:r>
      <w:r w:rsidR="007A799C">
        <w:t>providing the evidence to support an</w:t>
      </w:r>
      <w:r w:rsidR="0018461B">
        <w:t xml:space="preserve"> overall assessment </w:t>
      </w:r>
      <w:r w:rsidR="007A799C">
        <w:t>as</w:t>
      </w:r>
      <w:r w:rsidR="00F450D3">
        <w:t xml:space="preserve"> required</w:t>
      </w:r>
      <w:r w:rsidR="007A799C">
        <w:t>,</w:t>
      </w:r>
      <w:r w:rsidR="00F450D3">
        <w:t xml:space="preserve"> and I cannot therefore provide </w:t>
      </w:r>
      <w:r w:rsidR="00197283">
        <w:t xml:space="preserve">an </w:t>
      </w:r>
      <w:r w:rsidR="00A17690">
        <w:t xml:space="preserve">overall </w:t>
      </w:r>
      <w:r w:rsidR="00197283">
        <w:t>opinion</w:t>
      </w:r>
      <w:r w:rsidR="00F450D3">
        <w:t xml:space="preserve"> on the </w:t>
      </w:r>
      <w:r w:rsidR="00F450D3" w:rsidRPr="00F450D3">
        <w:t>council's framework of governance, risk management and control</w:t>
      </w:r>
      <w:r w:rsidR="00F450D3">
        <w:t>.</w:t>
      </w:r>
    </w:p>
    <w:p w:rsidR="00AB7F56" w:rsidRPr="00F92FDE" w:rsidRDefault="00AB7F56" w:rsidP="00C630F6">
      <w:pPr>
        <w:pStyle w:val="Heading3"/>
        <w:tabs>
          <w:tab w:val="left" w:pos="284"/>
        </w:tabs>
        <w:spacing w:after="120"/>
        <w:rPr>
          <w:rFonts w:ascii="Arial" w:hAnsi="Arial" w:cs="Arial"/>
        </w:rPr>
      </w:pPr>
      <w:r>
        <w:rPr>
          <w:rFonts w:ascii="Arial" w:hAnsi="Arial" w:cs="Arial"/>
        </w:rPr>
        <w:t>Interim reports</w:t>
      </w:r>
    </w:p>
    <w:p w:rsidR="00AB7F56" w:rsidRPr="00F92FDE" w:rsidRDefault="001B27C1" w:rsidP="002C69C9">
      <w:pPr>
        <w:numPr>
          <w:ilvl w:val="1"/>
          <w:numId w:val="1"/>
        </w:numPr>
        <w:spacing w:before="120" w:after="120"/>
      </w:pPr>
      <w:r>
        <w:t>T</w:t>
      </w:r>
      <w:r w:rsidR="00AB7F56">
        <w:t>he matters reported in previous years and</w:t>
      </w:r>
      <w:r>
        <w:t>,</w:t>
      </w:r>
      <w:r w:rsidR="00AB7F56">
        <w:t xml:space="preserve"> </w:t>
      </w:r>
      <w:r w:rsidR="00876BE0">
        <w:t>in particular the issues I reported last year</w:t>
      </w:r>
      <w:r>
        <w:t xml:space="preserve">, </w:t>
      </w:r>
      <w:r w:rsidR="00AB7F56">
        <w:t xml:space="preserve">have been the subject of </w:t>
      </w:r>
      <w:r w:rsidR="00F545C1">
        <w:t xml:space="preserve">Management Team's </w:t>
      </w:r>
      <w:r w:rsidR="00AB7F56">
        <w:t xml:space="preserve">discussions </w:t>
      </w:r>
      <w:r w:rsidR="00003B9F">
        <w:t>during</w:t>
      </w:r>
      <w:r w:rsidR="00AB7F56">
        <w:t xml:space="preserve"> </w:t>
      </w:r>
      <w:r w:rsidR="00E1341E">
        <w:t>2014/15</w:t>
      </w:r>
      <w:r w:rsidR="00015293">
        <w:t xml:space="preserve"> </w:t>
      </w:r>
      <w:r w:rsidR="00AB7F56">
        <w:t xml:space="preserve">and </w:t>
      </w:r>
      <w:r w:rsidR="00A17690">
        <w:t xml:space="preserve">discussions </w:t>
      </w:r>
      <w:r w:rsidR="00F545C1">
        <w:t xml:space="preserve">with </w:t>
      </w:r>
      <w:r w:rsidR="00AB7F56">
        <w:t>the</w:t>
      </w:r>
      <w:r w:rsidR="00A723C2">
        <w:t xml:space="preserve"> council's </w:t>
      </w:r>
      <w:r w:rsidR="00AB7F56">
        <w:t>senior mana</w:t>
      </w:r>
      <w:r w:rsidR="009C145E">
        <w:t>gement.</w:t>
      </w:r>
    </w:p>
    <w:p w:rsidR="00AB7F56" w:rsidRPr="00AF1510" w:rsidRDefault="00AB7F56" w:rsidP="002C69C9">
      <w:pPr>
        <w:numPr>
          <w:ilvl w:val="1"/>
          <w:numId w:val="1"/>
        </w:numPr>
        <w:spacing w:before="120" w:after="120"/>
      </w:pPr>
      <w:r>
        <w:t xml:space="preserve">I have also reported summaries of </w:t>
      </w:r>
      <w:r w:rsidR="0054591B">
        <w:t>the</w:t>
      </w:r>
      <w:r>
        <w:t xml:space="preserve"> </w:t>
      </w:r>
      <w:r w:rsidR="00E1443F">
        <w:t>audit</w:t>
      </w:r>
      <w:r>
        <w:t xml:space="preserve"> work </w:t>
      </w:r>
      <w:r w:rsidR="0054591B">
        <w:t xml:space="preserve">undertaken </w:t>
      </w:r>
      <w:r>
        <w:t xml:space="preserve">to the Audit </w:t>
      </w:r>
      <w:r w:rsidR="0097425A">
        <w:t xml:space="preserve">and Governance </w:t>
      </w:r>
      <w:r>
        <w:t xml:space="preserve">Committee as </w:t>
      </w:r>
      <w:r w:rsidR="0054591B">
        <w:t>it has</w:t>
      </w:r>
      <w:r>
        <w:t xml:space="preserve"> been c</w:t>
      </w:r>
      <w:r w:rsidR="00351406">
        <w:t>ompleted during the year</w:t>
      </w:r>
      <w:r w:rsidR="00197283">
        <w:t>.</w:t>
      </w:r>
    </w:p>
    <w:p w:rsidR="00AB7F56" w:rsidRDefault="00AB7F56" w:rsidP="00C630F6">
      <w:pPr>
        <w:tabs>
          <w:tab w:val="left" w:pos="284"/>
        </w:tabs>
      </w:pPr>
    </w:p>
    <w:p w:rsidR="00AB7F56" w:rsidRDefault="00AB7F56" w:rsidP="00C630F6">
      <w:pPr>
        <w:tabs>
          <w:tab w:val="left" w:pos="284"/>
        </w:tabs>
      </w:pPr>
    </w:p>
    <w:p w:rsidR="00AB7F56" w:rsidRDefault="00AB7F56" w:rsidP="00C630F6">
      <w:pPr>
        <w:tabs>
          <w:tab w:val="left" w:pos="284"/>
        </w:tabs>
      </w:pPr>
    </w:p>
    <w:p w:rsidR="00AB7F56" w:rsidRDefault="00AB7F56" w:rsidP="00C630F6">
      <w:pPr>
        <w:tabs>
          <w:tab w:val="left" w:pos="284"/>
        </w:tabs>
      </w:pPr>
    </w:p>
    <w:p w:rsidR="00AB7F56" w:rsidRDefault="00AB7F56" w:rsidP="00C630F6">
      <w:pPr>
        <w:tabs>
          <w:tab w:val="left" w:pos="284"/>
        </w:tabs>
      </w:pPr>
      <w:r>
        <w:t>Ruth Lowry</w:t>
      </w:r>
    </w:p>
    <w:p w:rsidR="00AB7F56" w:rsidRDefault="004E1EF5" w:rsidP="00C630F6">
      <w:pPr>
        <w:tabs>
          <w:tab w:val="left" w:pos="284"/>
        </w:tabs>
      </w:pPr>
      <w:r>
        <w:t xml:space="preserve">Head of </w:t>
      </w:r>
      <w:r w:rsidR="00C82CAE">
        <w:t xml:space="preserve">Service </w:t>
      </w:r>
      <w:r w:rsidR="00C33D74">
        <w:t>I</w:t>
      </w:r>
      <w:r w:rsidR="00AB7F56">
        <w:t xml:space="preserve">nternal </w:t>
      </w:r>
      <w:r w:rsidR="00C33D74">
        <w:t>A</w:t>
      </w:r>
      <w:r>
        <w:t>udit</w:t>
      </w:r>
    </w:p>
    <w:p w:rsidR="00AB7F56" w:rsidRDefault="00AB7F56" w:rsidP="00C630F6">
      <w:pPr>
        <w:tabs>
          <w:tab w:val="left" w:pos="284"/>
        </w:tabs>
      </w:pPr>
      <w:smartTag w:uri="urn:schemas-microsoft-com:office:smarttags" w:element="place">
        <w:r w:rsidRPr="00845E11">
          <w:t>Lancashire</w:t>
        </w:r>
      </w:smartTag>
      <w:r w:rsidRPr="00845E11">
        <w:t xml:space="preserve"> County Council</w:t>
      </w:r>
    </w:p>
    <w:p w:rsidR="00AB7F56" w:rsidRPr="00F92FDE" w:rsidRDefault="00AB7F56" w:rsidP="002C69C9">
      <w:pPr>
        <w:pStyle w:val="Heading1"/>
        <w:numPr>
          <w:ilvl w:val="0"/>
          <w:numId w:val="1"/>
        </w:numPr>
        <w:spacing w:after="120"/>
        <w:rPr>
          <w:rFonts w:ascii="Arial" w:hAnsi="Arial" w:cs="Arial"/>
        </w:rPr>
      </w:pPr>
      <w:r>
        <w:rPr>
          <w:rFonts w:ascii="Arial Bold" w:hAnsi="Arial Bold" w:cs="Arial"/>
          <w:highlight w:val="lightGray"/>
        </w:rPr>
        <w:br w:type="page"/>
      </w:r>
      <w:bookmarkStart w:id="2" w:name="Assessment"/>
      <w:bookmarkStart w:id="3" w:name="OLE_LINK3"/>
      <w:bookmarkStart w:id="4" w:name="OLE_LINK4"/>
      <w:r w:rsidRPr="00F92FDE">
        <w:rPr>
          <w:rFonts w:ascii="Arial" w:hAnsi="Arial" w:cs="Arial"/>
        </w:rPr>
        <w:lastRenderedPageBreak/>
        <w:t>Summary a</w:t>
      </w:r>
      <w:r>
        <w:rPr>
          <w:rFonts w:ascii="Arial" w:hAnsi="Arial" w:cs="Arial"/>
        </w:rPr>
        <w:t>ssessment</w:t>
      </w:r>
      <w:bookmarkEnd w:id="2"/>
      <w:r w:rsidR="00992DCB">
        <w:rPr>
          <w:rFonts w:ascii="Arial" w:hAnsi="Arial" w:cs="Arial"/>
        </w:rPr>
        <w:t xml:space="preserve"> of </w:t>
      </w:r>
      <w:r w:rsidR="00433147">
        <w:rPr>
          <w:rFonts w:ascii="Arial" w:hAnsi="Arial" w:cs="Arial"/>
        </w:rPr>
        <w:t xml:space="preserve">governance, risk management and </w:t>
      </w:r>
      <w:r w:rsidR="00992DCB">
        <w:rPr>
          <w:rFonts w:ascii="Arial" w:hAnsi="Arial" w:cs="Arial"/>
        </w:rPr>
        <w:t>internal control</w:t>
      </w:r>
    </w:p>
    <w:p w:rsidR="00AB7F56" w:rsidRDefault="001779FA" w:rsidP="00C630F6">
      <w:pPr>
        <w:pStyle w:val="Heading3"/>
        <w:tabs>
          <w:tab w:val="left" w:pos="284"/>
        </w:tabs>
        <w:spacing w:after="120"/>
        <w:rPr>
          <w:rFonts w:ascii="Arial" w:hAnsi="Arial" w:cs="Arial"/>
          <w:bCs w:val="0"/>
        </w:rPr>
      </w:pPr>
      <w:r>
        <w:rPr>
          <w:rFonts w:ascii="Arial" w:hAnsi="Arial" w:cs="Arial"/>
        </w:rPr>
        <w:t>O</w:t>
      </w:r>
      <w:r w:rsidR="00AB7F56">
        <w:rPr>
          <w:rFonts w:ascii="Arial" w:hAnsi="Arial" w:cs="Arial"/>
        </w:rPr>
        <w:t>pinion</w:t>
      </w:r>
    </w:p>
    <w:p w:rsidR="00197283" w:rsidRDefault="00596BC5" w:rsidP="00974DED">
      <w:pPr>
        <w:numPr>
          <w:ilvl w:val="1"/>
          <w:numId w:val="1"/>
        </w:numPr>
        <w:spacing w:before="120" w:after="120"/>
      </w:pPr>
      <w:r w:rsidRPr="00711AE1">
        <w:t xml:space="preserve">On the basis of our programme of work for </w:t>
      </w:r>
      <w:r>
        <w:t>201</w:t>
      </w:r>
      <w:r w:rsidR="00E1341E">
        <w:t>4/15</w:t>
      </w:r>
      <w:r w:rsidRPr="00711AE1">
        <w:t>, I can</w:t>
      </w:r>
      <w:r w:rsidR="00197283">
        <w:t>not</w:t>
      </w:r>
      <w:r w:rsidRPr="00711AE1">
        <w:t xml:space="preserve"> provide </w:t>
      </w:r>
      <w:r w:rsidR="00197283">
        <w:t xml:space="preserve">an overall opinion on the </w:t>
      </w:r>
      <w:r w:rsidR="00197283" w:rsidRPr="00F450D3">
        <w:t>overall adequacy and effectiveness of the council's framework of governance, risk management and control</w:t>
      </w:r>
      <w:r w:rsidR="00197283">
        <w:t>.</w:t>
      </w:r>
    </w:p>
    <w:p w:rsidR="005709F9" w:rsidRDefault="005709F9" w:rsidP="005709F9">
      <w:pPr>
        <w:numPr>
          <w:ilvl w:val="1"/>
          <w:numId w:val="1"/>
        </w:numPr>
        <w:spacing w:before="120" w:after="120"/>
      </w:pPr>
      <w:r>
        <w:t>For a number of reasons, by 2013/14 controls across a range of systems and services were either inadequately designed for their current purposes or were ineffectively operated in practice. For some years, ma</w:t>
      </w:r>
      <w:r w:rsidR="006A76F5">
        <w:t>nagement and staff resources have</w:t>
      </w:r>
      <w:r>
        <w:t xml:space="preserve"> been reduced, services restructured, and operating processes redesigned. However members of the senior management team, and the council's statutory officers in particular, were obliged during 2013/14 and 2014/15 to focus their attention instead on the matters exposed as two of the council's procurement processes were reviewed, the remuneration of the Chief Executive Officer of its joint venture company was discovered, the council's former Chief Executive and all of the senior managers seconded to the council's joint venture company left the organisation, and the relationship with its strategic partner was renegotiated. During 2014/15 the council's Management Team and senior management was itself restructured </w:t>
      </w:r>
      <w:r w:rsidR="006A76F5">
        <w:t xml:space="preserve">under the new Chief Executive, </w:t>
      </w:r>
      <w:r>
        <w:t>and it then focussed its attention on re-structurin</w:t>
      </w:r>
      <w:r w:rsidR="006A76F5">
        <w:t>g the rest of the organisation</w:t>
      </w:r>
      <w:r>
        <w:t>.</w:t>
      </w:r>
      <w:r w:rsidR="006A76F5">
        <w:t xml:space="preserve"> This work has continued into 2015/16.</w:t>
      </w:r>
    </w:p>
    <w:p w:rsidR="005709F9" w:rsidRPr="001B1C70" w:rsidRDefault="005709F9" w:rsidP="005709F9">
      <w:pPr>
        <w:numPr>
          <w:ilvl w:val="1"/>
          <w:numId w:val="1"/>
        </w:numPr>
        <w:spacing w:before="120" w:after="120"/>
      </w:pPr>
      <w:r>
        <w:t>The level of assurance I provided therefore gradually deteriorated in the years prior to 2013/14, and I provided only limited or no</w:t>
      </w:r>
      <w:r w:rsidRPr="00711AE1">
        <w:t xml:space="preserve"> assurance</w:t>
      </w:r>
      <w:r>
        <w:t xml:space="preserve"> over the majority of the control systems audited during 2013/14. At the Management Team's request internal audit work during 2014/15 has been directed towards re-assessing key areas of control weaknesses and following up the actions agreed by management to improve controls across a number of systems and services identified in </w:t>
      </w:r>
      <w:r w:rsidRPr="005E6FDD">
        <w:t>earlier years' reviews</w:t>
      </w:r>
      <w:r>
        <w:t>. A senior member of the team was also seconded out of the Internal Audit Service from September 2014 onwards to support management in assessing the actions taken in key risk areas.</w:t>
      </w:r>
    </w:p>
    <w:p w:rsidR="00876BE0" w:rsidRPr="001B47AD" w:rsidRDefault="005709F9" w:rsidP="00974DED">
      <w:pPr>
        <w:numPr>
          <w:ilvl w:val="1"/>
          <w:numId w:val="1"/>
        </w:numPr>
        <w:spacing w:before="120" w:after="120"/>
      </w:pPr>
      <w:r>
        <w:t xml:space="preserve">I can however provide </w:t>
      </w:r>
      <w:r w:rsidR="00E1341E" w:rsidRPr="00003B9F">
        <w:t>substantial</w:t>
      </w:r>
      <w:r w:rsidR="00596BC5" w:rsidRPr="00711AE1">
        <w:t xml:space="preserve"> assurance </w:t>
      </w:r>
      <w:r w:rsidR="00E1341E">
        <w:t xml:space="preserve">that appropriate efforts have been made to </w:t>
      </w:r>
      <w:r w:rsidR="001B27C1">
        <w:t xml:space="preserve">rectify the controls over a number of </w:t>
      </w:r>
      <w:r w:rsidR="001B47AD">
        <w:t xml:space="preserve">areas of </w:t>
      </w:r>
      <w:r w:rsidR="001B27C1">
        <w:t xml:space="preserve">high and moderate risk. </w:t>
      </w:r>
      <w:r w:rsidR="009B474B" w:rsidRPr="009B474B">
        <w:rPr>
          <w:rFonts w:cs="Arial"/>
        </w:rPr>
        <w:t xml:space="preserve">If the </w:t>
      </w:r>
      <w:r w:rsidR="001B47AD">
        <w:rPr>
          <w:rFonts w:cs="Arial"/>
        </w:rPr>
        <w:t xml:space="preserve">relevant </w:t>
      </w:r>
      <w:r w:rsidR="009B474B" w:rsidRPr="009B474B">
        <w:rPr>
          <w:rFonts w:cs="Arial"/>
        </w:rPr>
        <w:t xml:space="preserve">control systems continue in all other respects to operate as they did at the time of our original work, then we would now be able to provide substantial </w:t>
      </w:r>
      <w:r w:rsidR="001B47AD">
        <w:rPr>
          <w:rFonts w:cs="Arial"/>
        </w:rPr>
        <w:t xml:space="preserve">(rather than limited) </w:t>
      </w:r>
      <w:r w:rsidR="009B474B" w:rsidRPr="009B474B">
        <w:rPr>
          <w:rFonts w:cs="Arial"/>
        </w:rPr>
        <w:t>assurance over the adequacy and effectiveness of their controls. However our work has been restricted to testing only management's actions to rectify those control issues we originally reported.</w:t>
      </w:r>
    </w:p>
    <w:p w:rsidR="001B47AD" w:rsidRDefault="001B47AD" w:rsidP="00974DED">
      <w:pPr>
        <w:numPr>
          <w:ilvl w:val="1"/>
          <w:numId w:val="1"/>
        </w:numPr>
        <w:spacing w:before="120" w:after="120"/>
      </w:pPr>
      <w:r>
        <w:t xml:space="preserve">I can also provide substantial assurance that </w:t>
      </w:r>
      <w:r w:rsidR="00B41960">
        <w:t xml:space="preserve">the </w:t>
      </w:r>
      <w:r>
        <w:t xml:space="preserve">controls over two high risk financial systems – general ledger and treasury management – </w:t>
      </w:r>
      <w:r w:rsidR="00B41960">
        <w:t>as well as</w:t>
      </w:r>
      <w:r>
        <w:t xml:space="preserve"> the payroll and central accounts payable systems, are adequately designed and operating effectively.</w:t>
      </w:r>
    </w:p>
    <w:p w:rsidR="007A7CE1" w:rsidRPr="007A7CE1" w:rsidRDefault="007A7CE1" w:rsidP="007A7CE1">
      <w:pPr>
        <w:pStyle w:val="Heading3"/>
        <w:tabs>
          <w:tab w:val="left" w:pos="284"/>
        </w:tabs>
        <w:spacing w:after="120"/>
        <w:rPr>
          <w:rFonts w:ascii="Arial" w:hAnsi="Arial" w:cs="Arial"/>
        </w:rPr>
      </w:pPr>
      <w:r w:rsidRPr="007A7CE1">
        <w:rPr>
          <w:rFonts w:ascii="Arial" w:hAnsi="Arial" w:cs="Arial"/>
        </w:rPr>
        <w:t>Background</w:t>
      </w:r>
    </w:p>
    <w:p w:rsidR="00AB7F56" w:rsidRPr="004C3855" w:rsidRDefault="007715D9" w:rsidP="002C69C9">
      <w:pPr>
        <w:numPr>
          <w:ilvl w:val="1"/>
          <w:numId w:val="1"/>
        </w:numPr>
        <w:spacing w:before="120" w:after="120"/>
      </w:pPr>
      <w:r w:rsidRPr="00A82AF5">
        <w:t xml:space="preserve">Annex </w:t>
      </w:r>
      <w:r w:rsidR="00FE386C">
        <w:t>A</w:t>
      </w:r>
      <w:r w:rsidRPr="00A82AF5">
        <w:t xml:space="preserve"> provides a summary of each assurance assignment the team has</w:t>
      </w:r>
      <w:r w:rsidRPr="004C3855">
        <w:t xml:space="preserve"> undertaken during the year and the level of assu</w:t>
      </w:r>
      <w:r>
        <w:t xml:space="preserve">rance we have given for each. </w:t>
      </w:r>
      <w:r w:rsidRPr="00CC195D">
        <w:t xml:space="preserve">I </w:t>
      </w:r>
      <w:r w:rsidRPr="00CC195D">
        <w:lastRenderedPageBreak/>
        <w:t xml:space="preserve">have provided </w:t>
      </w:r>
      <w:r w:rsidRPr="0076767B">
        <w:t>more detailed summaries</w:t>
      </w:r>
      <w:r>
        <w:t xml:space="preserve"> of individual audits throughout the course of the year in my progress reports to each meeting of the Audit and Governance Committee, and Annex </w:t>
      </w:r>
      <w:r w:rsidR="00FE386C">
        <w:t>B</w:t>
      </w:r>
      <w:r>
        <w:t xml:space="preserve"> provides details of the findings of each assignment throughout the year at the time our work was completed. </w:t>
      </w:r>
      <w:r w:rsidR="00175B59" w:rsidRPr="004C3855">
        <w:t>An explanation</w:t>
      </w:r>
      <w:r w:rsidR="00AB7F56" w:rsidRPr="004C3855">
        <w:t xml:space="preserve"> </w:t>
      </w:r>
      <w:r w:rsidR="00C35410" w:rsidRPr="004C3855">
        <w:t xml:space="preserve">of the levels of assurance the Internal Audit Service provides are set out in Annex </w:t>
      </w:r>
      <w:r w:rsidR="00FE386C">
        <w:t>C</w:t>
      </w:r>
      <w:r w:rsidR="00C35410">
        <w:t xml:space="preserve">, and of the scope of our work </w:t>
      </w:r>
      <w:r w:rsidR="00C35410" w:rsidRPr="00A82AF5">
        <w:t xml:space="preserve">in </w:t>
      </w:r>
      <w:r w:rsidR="00C35410" w:rsidRPr="00FE386C">
        <w:t xml:space="preserve">Annex </w:t>
      </w:r>
      <w:r w:rsidR="00E60758" w:rsidRPr="00FE386C">
        <w:t>D</w:t>
      </w:r>
      <w:r w:rsidR="00175B59" w:rsidRPr="00FE386C">
        <w:t>.</w:t>
      </w:r>
      <w:r w:rsidR="00017CE8" w:rsidRPr="00A82AF5">
        <w:t xml:space="preserve"> </w:t>
      </w:r>
    </w:p>
    <w:p w:rsidR="00633224" w:rsidRPr="00633224" w:rsidRDefault="00633224" w:rsidP="00633224">
      <w:pPr>
        <w:pStyle w:val="Heading3"/>
        <w:tabs>
          <w:tab w:val="left" w:pos="284"/>
        </w:tabs>
        <w:spacing w:after="120"/>
        <w:rPr>
          <w:rFonts w:ascii="Arial" w:hAnsi="Arial" w:cs="Arial"/>
        </w:rPr>
      </w:pPr>
      <w:r w:rsidRPr="00633224">
        <w:rPr>
          <w:rFonts w:ascii="Arial" w:hAnsi="Arial" w:cs="Arial"/>
        </w:rPr>
        <w:t>The council's control framework</w:t>
      </w:r>
    </w:p>
    <w:p w:rsidR="00AB7F56" w:rsidRDefault="0093147F" w:rsidP="002C69C9">
      <w:pPr>
        <w:numPr>
          <w:ilvl w:val="1"/>
          <w:numId w:val="1"/>
        </w:numPr>
        <w:spacing w:before="120" w:after="120"/>
      </w:pPr>
      <w:r>
        <w:t>T</w:t>
      </w:r>
      <w:r w:rsidR="00AB7F56">
        <w:t xml:space="preserve">he </w:t>
      </w:r>
      <w:r w:rsidR="001E35C0">
        <w:t xml:space="preserve">Internal </w:t>
      </w:r>
      <w:r w:rsidR="00AB7F56">
        <w:t xml:space="preserve">Audit Service's understanding of the council's controls as follows: </w:t>
      </w:r>
    </w:p>
    <w:p w:rsidR="00AB7F56" w:rsidRDefault="00AB7F56" w:rsidP="001B47AD">
      <w:pPr>
        <w:pStyle w:val="Ruthsbulletpoint"/>
        <w:ind w:left="1276" w:hanging="283"/>
        <w:contextualSpacing w:val="0"/>
      </w:pPr>
      <w:r>
        <w:t>Cross-cutting controls: These controls manage the risks arising from the council's over-arching business objectives that cut across all service areas.</w:t>
      </w:r>
    </w:p>
    <w:p w:rsidR="00D71EF7" w:rsidRDefault="00D71EF7" w:rsidP="001B47AD">
      <w:pPr>
        <w:pStyle w:val="Ruthsbulletpoint"/>
        <w:ind w:left="1276" w:hanging="283"/>
        <w:contextualSpacing w:val="0"/>
      </w:pPr>
      <w:r w:rsidRPr="001B47AD">
        <w:t>Cross-service controls: These are the controls that support the council's work across some or all of its service areas, either where two or more teams provide a single service, or where risks are common to a number of (or all) service teams.</w:t>
      </w:r>
    </w:p>
    <w:p w:rsidR="00AB7F56" w:rsidRDefault="00052CC9" w:rsidP="001B47AD">
      <w:pPr>
        <w:pStyle w:val="Ruthsbulletpoint"/>
        <w:ind w:left="1276" w:hanging="283"/>
        <w:contextualSpacing w:val="0"/>
      </w:pPr>
      <w:r>
        <w:t>C</w:t>
      </w:r>
      <w:r w:rsidR="00AB7F56">
        <w:t>ommon controls: These are the controls that under-pin the council's work whatever service is being provided and in whatever service or directorate. They manage the risks of its day to day operations that are operated in common across the whole organisation.</w:t>
      </w:r>
    </w:p>
    <w:p w:rsidR="00AB7F56" w:rsidRDefault="00AB7F56" w:rsidP="001B47AD">
      <w:pPr>
        <w:pStyle w:val="Ruthsbulletpoint"/>
        <w:ind w:left="1276" w:hanging="283"/>
        <w:contextualSpacing w:val="0"/>
      </w:pPr>
      <w:r>
        <w:t>Service-specific controls: The controls designed to manage the risks arising in individual service areas.</w:t>
      </w:r>
    </w:p>
    <w:p w:rsidR="00452132" w:rsidRDefault="0093147F" w:rsidP="0093147F">
      <w:pPr>
        <w:pStyle w:val="Ruthsbulletpoint"/>
        <w:numPr>
          <w:ilvl w:val="0"/>
          <w:numId w:val="0"/>
        </w:numPr>
        <w:ind w:left="1560" w:hanging="426"/>
        <w:contextualSpacing w:val="0"/>
      </w:pPr>
      <w:r>
        <w:rPr>
          <w:bCs/>
          <w:noProof/>
        </w:rPr>
        <w:drawing>
          <wp:inline distT="0" distB="0" distL="0" distR="0" wp14:anchorId="0459818F" wp14:editId="78CC0C6F">
            <wp:extent cx="5023557" cy="4572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052597" cy="4598430"/>
                    </a:xfrm>
                    <a:prstGeom prst="rect">
                      <a:avLst/>
                    </a:prstGeom>
                    <a:noFill/>
                    <a:ln w="9525">
                      <a:noFill/>
                      <a:miter lim="800000"/>
                      <a:headEnd/>
                      <a:tailEnd/>
                    </a:ln>
                  </pic:spPr>
                </pic:pic>
              </a:graphicData>
            </a:graphic>
          </wp:inline>
        </w:drawing>
      </w:r>
    </w:p>
    <w:p w:rsidR="0093147F" w:rsidRDefault="0093147F" w:rsidP="0093147F">
      <w:pPr>
        <w:numPr>
          <w:ilvl w:val="1"/>
          <w:numId w:val="1"/>
        </w:numPr>
        <w:spacing w:before="120" w:after="120"/>
        <w:rPr>
          <w:rFonts w:cs="Arial"/>
        </w:rPr>
      </w:pPr>
      <w:r>
        <w:rPr>
          <w:rFonts w:cs="Arial"/>
        </w:rPr>
        <w:lastRenderedPageBreak/>
        <w:t xml:space="preserve">Our work on controls is aligned with this framework and, in addition to following up management's action plans, we have undertaken work on a </w:t>
      </w:r>
      <w:r w:rsidR="001B1C70">
        <w:rPr>
          <w:rFonts w:cs="Arial"/>
        </w:rPr>
        <w:t xml:space="preserve">small </w:t>
      </w:r>
      <w:r>
        <w:rPr>
          <w:rFonts w:cs="Arial"/>
        </w:rPr>
        <w:t>number of other areas, with a particular focus on the council's financial controls.</w:t>
      </w:r>
    </w:p>
    <w:p w:rsidR="00256C20" w:rsidRDefault="00256C20" w:rsidP="00433147">
      <w:pPr>
        <w:pStyle w:val="Heading1"/>
        <w:numPr>
          <w:ilvl w:val="0"/>
          <w:numId w:val="1"/>
        </w:numPr>
        <w:spacing w:after="120"/>
        <w:rPr>
          <w:rFonts w:ascii="Arial" w:hAnsi="Arial" w:cs="Arial"/>
        </w:rPr>
      </w:pPr>
      <w:r>
        <w:rPr>
          <w:rFonts w:ascii="Arial" w:hAnsi="Arial" w:cs="Arial"/>
        </w:rPr>
        <w:t xml:space="preserve">Summary of </w:t>
      </w:r>
      <w:r w:rsidR="007A7CE1">
        <w:rPr>
          <w:rFonts w:ascii="Arial" w:hAnsi="Arial" w:cs="Arial"/>
        </w:rPr>
        <w:t xml:space="preserve">the </w:t>
      </w:r>
      <w:r>
        <w:rPr>
          <w:rFonts w:ascii="Arial" w:hAnsi="Arial" w:cs="Arial"/>
        </w:rPr>
        <w:t>assurance provided by the Internal Audit Service</w:t>
      </w:r>
    </w:p>
    <w:p w:rsidR="00DA4150" w:rsidRPr="00452132" w:rsidRDefault="00256C20" w:rsidP="00E1341E">
      <w:pPr>
        <w:numPr>
          <w:ilvl w:val="1"/>
          <w:numId w:val="1"/>
        </w:numPr>
        <w:spacing w:before="120" w:after="120"/>
      </w:pPr>
      <w:r w:rsidRPr="001664FC">
        <w:t xml:space="preserve">A summary of the assurance </w:t>
      </w:r>
      <w:r w:rsidR="004D483F" w:rsidRPr="001664FC">
        <w:t>the Internal Audit Service has</w:t>
      </w:r>
      <w:r w:rsidRPr="001664FC">
        <w:t xml:space="preserve"> provided during the year is </w:t>
      </w:r>
      <w:r w:rsidR="001B1C70" w:rsidRPr="001664FC">
        <w:t>set out</w:t>
      </w:r>
      <w:r w:rsidRPr="001664FC">
        <w:t xml:space="preserve"> below. This includes</w:t>
      </w:r>
      <w:r>
        <w:t xml:space="preserve"> each internal audit assignment directed to providing assurance</w:t>
      </w:r>
      <w:r w:rsidR="00EA315A">
        <w:t xml:space="preserve"> over either control systems or the actions taken by management</w:t>
      </w:r>
      <w:r>
        <w:t>, but it excludes work for example on the certification of grant funding claims and participation in working groups</w:t>
      </w:r>
      <w:r w:rsidR="006A4B33">
        <w:t xml:space="preserve">, </w:t>
      </w:r>
      <w:r w:rsidR="00C61E0E" w:rsidRPr="007A7CE1">
        <w:rPr>
          <w:rFonts w:cs="Arial"/>
          <w:color w:val="000000" w:themeColor="text1"/>
        </w:rPr>
        <w:t>which has not been directed at providing controls assurance</w:t>
      </w:r>
      <w:r w:rsidR="00CD6FA9" w:rsidRPr="007A7CE1">
        <w:rPr>
          <w:rFonts w:cs="Arial"/>
          <w:color w:val="000000" w:themeColor="text1"/>
        </w:rPr>
        <w:t>.</w:t>
      </w:r>
      <w:r w:rsidR="007A7CE1" w:rsidRPr="007A7CE1">
        <w:rPr>
          <w:rFonts w:cs="Arial"/>
          <w:color w:val="000000" w:themeColor="text1"/>
        </w:rPr>
        <w:t xml:space="preserve"> </w:t>
      </w:r>
      <w:r w:rsidR="00DA4150">
        <w:t>A table of all the audit work completed for 201</w:t>
      </w:r>
      <w:r w:rsidR="00176D18">
        <w:t>4/15</w:t>
      </w:r>
      <w:r w:rsidR="00DA4150">
        <w:t xml:space="preserve"> is included a</w:t>
      </w:r>
      <w:r w:rsidR="009F61CA">
        <w:t>t</w:t>
      </w:r>
      <w:r w:rsidR="00DA4150">
        <w:t xml:space="preserve"> Annex </w:t>
      </w:r>
      <w:r w:rsidR="009D3F19">
        <w:t>A</w:t>
      </w:r>
      <w:r w:rsidR="00DA4150">
        <w:t>.</w:t>
      </w:r>
    </w:p>
    <w:p w:rsidR="00924BA2" w:rsidRDefault="00BF181D" w:rsidP="00924BA2">
      <w:pPr>
        <w:numPr>
          <w:ilvl w:val="1"/>
          <w:numId w:val="1"/>
        </w:numPr>
        <w:spacing w:before="120" w:after="120"/>
        <w:rPr>
          <w:rFonts w:cs="Arial"/>
        </w:rPr>
      </w:pPr>
      <w:r>
        <w:rPr>
          <w:rFonts w:cs="Arial"/>
        </w:rPr>
        <w:t>The Internal Audit Service aims to focus only on areas of risk to the council but nonetheless covers a range of the council's activities, some of which represent greater risk than others overall. A</w:t>
      </w:r>
      <w:r w:rsidR="00E77C6E">
        <w:rPr>
          <w:rFonts w:cs="Arial"/>
        </w:rPr>
        <w:t xml:space="preserve"> subjective </w:t>
      </w:r>
      <w:r>
        <w:rPr>
          <w:rFonts w:cs="Arial"/>
        </w:rPr>
        <w:t xml:space="preserve">assessment has been made of the risk associated with each area audited, and </w:t>
      </w:r>
      <w:r w:rsidR="003574E9">
        <w:rPr>
          <w:rFonts w:cs="Arial"/>
        </w:rPr>
        <w:t>the</w:t>
      </w:r>
      <w:r>
        <w:rPr>
          <w:rFonts w:cs="Arial"/>
        </w:rPr>
        <w:t xml:space="preserve"> assurance provided over areas of high</w:t>
      </w:r>
      <w:r w:rsidR="006234C7">
        <w:rPr>
          <w:rFonts w:cs="Arial"/>
        </w:rPr>
        <w:t>,</w:t>
      </w:r>
      <w:r>
        <w:rPr>
          <w:rFonts w:cs="Arial"/>
        </w:rPr>
        <w:t xml:space="preserve"> moderate </w:t>
      </w:r>
      <w:r w:rsidR="006234C7">
        <w:rPr>
          <w:rFonts w:cs="Arial"/>
        </w:rPr>
        <w:t xml:space="preserve">and relatively low </w:t>
      </w:r>
      <w:r>
        <w:rPr>
          <w:rFonts w:cs="Arial"/>
        </w:rPr>
        <w:t>risk is as follows:</w:t>
      </w:r>
    </w:p>
    <w:tbl>
      <w:tblPr>
        <w:tblStyle w:val="TableGrid"/>
        <w:tblW w:w="8471" w:type="dxa"/>
        <w:tblInd w:w="851" w:type="dxa"/>
        <w:tblLayout w:type="fixed"/>
        <w:tblLook w:val="04A0" w:firstRow="1" w:lastRow="0" w:firstColumn="1" w:lastColumn="0" w:noHBand="0" w:noVBand="1"/>
      </w:tblPr>
      <w:tblGrid>
        <w:gridCol w:w="2659"/>
        <w:gridCol w:w="851"/>
        <w:gridCol w:w="1134"/>
        <w:gridCol w:w="1417"/>
        <w:gridCol w:w="1134"/>
        <w:gridCol w:w="1276"/>
      </w:tblGrid>
      <w:tr w:rsidR="00D77466" w:rsidRPr="00A677DE" w:rsidTr="00D77466">
        <w:trPr>
          <w:trHeight w:val="217"/>
        </w:trPr>
        <w:tc>
          <w:tcPr>
            <w:tcW w:w="2659" w:type="dxa"/>
          </w:tcPr>
          <w:p w:rsidR="00D77466" w:rsidRPr="00A677DE" w:rsidRDefault="00D77466" w:rsidP="00D451A6">
            <w:pPr>
              <w:tabs>
                <w:tab w:val="left" w:pos="284"/>
              </w:tabs>
              <w:rPr>
                <w:b/>
                <w:sz w:val="22"/>
                <w:szCs w:val="22"/>
              </w:rPr>
            </w:pPr>
            <w:r>
              <w:rPr>
                <w:b/>
                <w:sz w:val="22"/>
                <w:szCs w:val="22"/>
              </w:rPr>
              <w:t>2014/15 assurance</w:t>
            </w:r>
          </w:p>
        </w:tc>
        <w:tc>
          <w:tcPr>
            <w:tcW w:w="851" w:type="dxa"/>
          </w:tcPr>
          <w:p w:rsidR="00D77466" w:rsidRPr="00A677DE" w:rsidRDefault="00D77466" w:rsidP="007A7CE1">
            <w:pPr>
              <w:tabs>
                <w:tab w:val="left" w:pos="284"/>
              </w:tabs>
              <w:spacing w:line="240" w:lineRule="auto"/>
              <w:jc w:val="center"/>
              <w:rPr>
                <w:b/>
                <w:sz w:val="22"/>
                <w:szCs w:val="22"/>
              </w:rPr>
            </w:pPr>
            <w:r w:rsidRPr="00A677DE">
              <w:rPr>
                <w:b/>
                <w:sz w:val="22"/>
                <w:szCs w:val="22"/>
              </w:rPr>
              <w:t>Total</w:t>
            </w:r>
          </w:p>
        </w:tc>
        <w:tc>
          <w:tcPr>
            <w:tcW w:w="1134" w:type="dxa"/>
          </w:tcPr>
          <w:p w:rsidR="00D77466" w:rsidRPr="00A677DE" w:rsidRDefault="00D77466" w:rsidP="00D451A6">
            <w:pPr>
              <w:tabs>
                <w:tab w:val="left" w:pos="284"/>
              </w:tabs>
              <w:spacing w:line="240" w:lineRule="auto"/>
              <w:jc w:val="center"/>
              <w:rPr>
                <w:b/>
                <w:sz w:val="22"/>
                <w:szCs w:val="22"/>
              </w:rPr>
            </w:pPr>
            <w:r w:rsidRPr="00A677DE">
              <w:rPr>
                <w:b/>
                <w:sz w:val="22"/>
                <w:szCs w:val="22"/>
              </w:rPr>
              <w:t>Full</w:t>
            </w:r>
          </w:p>
        </w:tc>
        <w:tc>
          <w:tcPr>
            <w:tcW w:w="1417" w:type="dxa"/>
          </w:tcPr>
          <w:p w:rsidR="00D77466" w:rsidRPr="00A677DE" w:rsidRDefault="00D77466" w:rsidP="00D451A6">
            <w:pPr>
              <w:tabs>
                <w:tab w:val="left" w:pos="284"/>
              </w:tabs>
              <w:spacing w:line="240" w:lineRule="auto"/>
              <w:jc w:val="center"/>
              <w:rPr>
                <w:b/>
                <w:sz w:val="22"/>
                <w:szCs w:val="22"/>
              </w:rPr>
            </w:pPr>
            <w:r w:rsidRPr="00A677DE">
              <w:rPr>
                <w:b/>
                <w:sz w:val="22"/>
                <w:szCs w:val="22"/>
              </w:rPr>
              <w:t>Substantial</w:t>
            </w:r>
          </w:p>
        </w:tc>
        <w:tc>
          <w:tcPr>
            <w:tcW w:w="1134" w:type="dxa"/>
          </w:tcPr>
          <w:p w:rsidR="00D77466" w:rsidRPr="00A677DE" w:rsidRDefault="00D77466" w:rsidP="00D451A6">
            <w:pPr>
              <w:tabs>
                <w:tab w:val="left" w:pos="284"/>
              </w:tabs>
              <w:spacing w:line="240" w:lineRule="auto"/>
              <w:jc w:val="center"/>
              <w:rPr>
                <w:b/>
                <w:sz w:val="22"/>
                <w:szCs w:val="22"/>
              </w:rPr>
            </w:pPr>
            <w:r w:rsidRPr="00A677DE">
              <w:rPr>
                <w:b/>
                <w:sz w:val="22"/>
                <w:szCs w:val="22"/>
              </w:rPr>
              <w:t>Limited</w:t>
            </w:r>
          </w:p>
        </w:tc>
        <w:tc>
          <w:tcPr>
            <w:tcW w:w="1276" w:type="dxa"/>
          </w:tcPr>
          <w:p w:rsidR="00D77466" w:rsidRPr="00A677DE" w:rsidRDefault="00D77466" w:rsidP="00D451A6">
            <w:pPr>
              <w:tabs>
                <w:tab w:val="left" w:pos="284"/>
              </w:tabs>
              <w:spacing w:line="240" w:lineRule="auto"/>
              <w:jc w:val="center"/>
              <w:rPr>
                <w:b/>
                <w:sz w:val="22"/>
                <w:szCs w:val="22"/>
              </w:rPr>
            </w:pPr>
            <w:r w:rsidRPr="00A677DE">
              <w:rPr>
                <w:b/>
                <w:sz w:val="22"/>
                <w:szCs w:val="22"/>
              </w:rPr>
              <w:t>None</w:t>
            </w:r>
          </w:p>
        </w:tc>
      </w:tr>
      <w:tr w:rsidR="00D77466" w:rsidRPr="00A677DE" w:rsidTr="00D77466">
        <w:tc>
          <w:tcPr>
            <w:tcW w:w="2659" w:type="dxa"/>
          </w:tcPr>
          <w:p w:rsidR="00D77466" w:rsidRPr="00D77466" w:rsidRDefault="00D77466" w:rsidP="00D77466">
            <w:pPr>
              <w:tabs>
                <w:tab w:val="left" w:pos="284"/>
              </w:tabs>
              <w:jc w:val="center"/>
              <w:rPr>
                <w:b/>
                <w:sz w:val="22"/>
                <w:szCs w:val="22"/>
              </w:rPr>
            </w:pPr>
          </w:p>
        </w:tc>
        <w:tc>
          <w:tcPr>
            <w:tcW w:w="5812" w:type="dxa"/>
            <w:gridSpan w:val="5"/>
          </w:tcPr>
          <w:p w:rsidR="00D77466" w:rsidRPr="00D77466" w:rsidRDefault="00D77466" w:rsidP="00D77466">
            <w:pPr>
              <w:tabs>
                <w:tab w:val="left" w:pos="284"/>
              </w:tabs>
              <w:jc w:val="center"/>
              <w:rPr>
                <w:b/>
                <w:sz w:val="22"/>
                <w:szCs w:val="22"/>
              </w:rPr>
            </w:pPr>
            <w:r>
              <w:rPr>
                <w:b/>
                <w:sz w:val="22"/>
                <w:szCs w:val="22"/>
              </w:rPr>
              <w:t>System controls a</w:t>
            </w:r>
            <w:r w:rsidRPr="00A677DE">
              <w:rPr>
                <w:b/>
                <w:sz w:val="22"/>
                <w:szCs w:val="22"/>
              </w:rPr>
              <w:t>ssurance</w:t>
            </w:r>
          </w:p>
        </w:tc>
      </w:tr>
      <w:tr w:rsidR="006B6211" w:rsidRPr="00A677DE" w:rsidTr="00D77466">
        <w:tc>
          <w:tcPr>
            <w:tcW w:w="2659" w:type="dxa"/>
          </w:tcPr>
          <w:p w:rsidR="006B6211" w:rsidRPr="00A677DE" w:rsidRDefault="006B6211" w:rsidP="00974DED">
            <w:pPr>
              <w:tabs>
                <w:tab w:val="left" w:pos="284"/>
              </w:tabs>
              <w:spacing w:after="0"/>
              <w:rPr>
                <w:sz w:val="22"/>
                <w:szCs w:val="22"/>
              </w:rPr>
            </w:pPr>
            <w:r w:rsidRPr="00A677DE">
              <w:rPr>
                <w:sz w:val="22"/>
                <w:szCs w:val="22"/>
              </w:rPr>
              <w:t>High risk</w:t>
            </w:r>
          </w:p>
        </w:tc>
        <w:tc>
          <w:tcPr>
            <w:tcW w:w="851" w:type="dxa"/>
          </w:tcPr>
          <w:p w:rsidR="006B6211" w:rsidRPr="00467E94" w:rsidRDefault="00D52363" w:rsidP="00974DED">
            <w:pPr>
              <w:tabs>
                <w:tab w:val="left" w:pos="284"/>
              </w:tabs>
              <w:spacing w:after="0" w:line="240" w:lineRule="auto"/>
              <w:jc w:val="center"/>
              <w:rPr>
                <w:sz w:val="22"/>
                <w:szCs w:val="22"/>
              </w:rPr>
            </w:pPr>
            <w:r w:rsidRPr="00467E94">
              <w:rPr>
                <w:sz w:val="22"/>
                <w:szCs w:val="22"/>
              </w:rPr>
              <w:t>2</w:t>
            </w:r>
          </w:p>
        </w:tc>
        <w:tc>
          <w:tcPr>
            <w:tcW w:w="1134" w:type="dxa"/>
          </w:tcPr>
          <w:p w:rsidR="006B6211" w:rsidRPr="00467E94" w:rsidRDefault="006B6211" w:rsidP="00974DED">
            <w:pPr>
              <w:tabs>
                <w:tab w:val="left" w:pos="284"/>
              </w:tabs>
              <w:spacing w:after="0" w:line="240" w:lineRule="auto"/>
              <w:jc w:val="center"/>
              <w:rPr>
                <w:sz w:val="22"/>
                <w:szCs w:val="22"/>
              </w:rPr>
            </w:pPr>
            <w:r w:rsidRPr="00467E94">
              <w:rPr>
                <w:sz w:val="22"/>
                <w:szCs w:val="22"/>
              </w:rPr>
              <w:t>0</w:t>
            </w:r>
          </w:p>
        </w:tc>
        <w:tc>
          <w:tcPr>
            <w:tcW w:w="1417" w:type="dxa"/>
          </w:tcPr>
          <w:p w:rsidR="006B6211" w:rsidRPr="00467E94" w:rsidRDefault="00D52363" w:rsidP="00974DED">
            <w:pPr>
              <w:tabs>
                <w:tab w:val="left" w:pos="284"/>
              </w:tabs>
              <w:spacing w:after="0" w:line="240" w:lineRule="auto"/>
              <w:jc w:val="center"/>
              <w:rPr>
                <w:sz w:val="22"/>
                <w:szCs w:val="22"/>
              </w:rPr>
            </w:pPr>
            <w:r w:rsidRPr="00467E94">
              <w:rPr>
                <w:sz w:val="22"/>
                <w:szCs w:val="22"/>
              </w:rPr>
              <w:t>2</w:t>
            </w:r>
          </w:p>
        </w:tc>
        <w:tc>
          <w:tcPr>
            <w:tcW w:w="1134" w:type="dxa"/>
          </w:tcPr>
          <w:p w:rsidR="006B6211" w:rsidRPr="00467E94" w:rsidRDefault="00D77466" w:rsidP="00974DED">
            <w:pPr>
              <w:tabs>
                <w:tab w:val="left" w:pos="284"/>
              </w:tabs>
              <w:spacing w:after="0" w:line="240" w:lineRule="auto"/>
              <w:jc w:val="center"/>
              <w:rPr>
                <w:sz w:val="22"/>
                <w:szCs w:val="22"/>
              </w:rPr>
            </w:pPr>
            <w:r w:rsidRPr="00467E94">
              <w:rPr>
                <w:sz w:val="22"/>
                <w:szCs w:val="22"/>
              </w:rPr>
              <w:t>0</w:t>
            </w:r>
          </w:p>
        </w:tc>
        <w:tc>
          <w:tcPr>
            <w:tcW w:w="1276" w:type="dxa"/>
          </w:tcPr>
          <w:p w:rsidR="006B6211" w:rsidRPr="00467E94" w:rsidRDefault="00D77466" w:rsidP="00974DED">
            <w:pPr>
              <w:tabs>
                <w:tab w:val="left" w:pos="284"/>
              </w:tabs>
              <w:spacing w:after="0" w:line="240" w:lineRule="auto"/>
              <w:jc w:val="center"/>
              <w:rPr>
                <w:sz w:val="22"/>
                <w:szCs w:val="22"/>
              </w:rPr>
            </w:pPr>
            <w:r w:rsidRPr="00467E94">
              <w:rPr>
                <w:sz w:val="22"/>
                <w:szCs w:val="22"/>
              </w:rPr>
              <w:t>0</w:t>
            </w:r>
          </w:p>
        </w:tc>
      </w:tr>
      <w:tr w:rsidR="006B6211" w:rsidRPr="00A677DE" w:rsidTr="00D77466">
        <w:tc>
          <w:tcPr>
            <w:tcW w:w="2659" w:type="dxa"/>
          </w:tcPr>
          <w:p w:rsidR="006B6211" w:rsidRPr="00A677DE" w:rsidRDefault="006B6211" w:rsidP="00974DED">
            <w:pPr>
              <w:tabs>
                <w:tab w:val="left" w:pos="284"/>
              </w:tabs>
              <w:spacing w:after="0"/>
              <w:rPr>
                <w:sz w:val="22"/>
                <w:szCs w:val="22"/>
              </w:rPr>
            </w:pPr>
            <w:r w:rsidRPr="00A677DE">
              <w:rPr>
                <w:sz w:val="22"/>
                <w:szCs w:val="22"/>
              </w:rPr>
              <w:t>Moderate risk</w:t>
            </w:r>
          </w:p>
        </w:tc>
        <w:tc>
          <w:tcPr>
            <w:tcW w:w="851" w:type="dxa"/>
          </w:tcPr>
          <w:p w:rsidR="006B6211" w:rsidRPr="00467E94" w:rsidRDefault="00467E94" w:rsidP="00974DED">
            <w:pPr>
              <w:tabs>
                <w:tab w:val="left" w:pos="284"/>
              </w:tabs>
              <w:spacing w:after="0" w:line="240" w:lineRule="auto"/>
              <w:jc w:val="center"/>
              <w:rPr>
                <w:sz w:val="22"/>
                <w:szCs w:val="22"/>
              </w:rPr>
            </w:pPr>
            <w:r w:rsidRPr="00467E94">
              <w:rPr>
                <w:sz w:val="22"/>
                <w:szCs w:val="22"/>
              </w:rPr>
              <w:t>10</w:t>
            </w:r>
          </w:p>
        </w:tc>
        <w:tc>
          <w:tcPr>
            <w:tcW w:w="1134" w:type="dxa"/>
          </w:tcPr>
          <w:p w:rsidR="006B6211" w:rsidRPr="00467E94" w:rsidRDefault="006B6211" w:rsidP="00974DED">
            <w:pPr>
              <w:tabs>
                <w:tab w:val="left" w:pos="284"/>
              </w:tabs>
              <w:spacing w:after="0" w:line="240" w:lineRule="auto"/>
              <w:jc w:val="center"/>
              <w:rPr>
                <w:sz w:val="22"/>
                <w:szCs w:val="22"/>
              </w:rPr>
            </w:pPr>
            <w:r w:rsidRPr="00467E94">
              <w:rPr>
                <w:sz w:val="22"/>
                <w:szCs w:val="22"/>
              </w:rPr>
              <w:t>0</w:t>
            </w:r>
          </w:p>
        </w:tc>
        <w:tc>
          <w:tcPr>
            <w:tcW w:w="1417" w:type="dxa"/>
          </w:tcPr>
          <w:p w:rsidR="006B6211" w:rsidRPr="00467E94" w:rsidRDefault="00467E94" w:rsidP="00974DED">
            <w:pPr>
              <w:tabs>
                <w:tab w:val="left" w:pos="284"/>
              </w:tabs>
              <w:spacing w:after="0" w:line="240" w:lineRule="auto"/>
              <w:jc w:val="center"/>
              <w:rPr>
                <w:sz w:val="22"/>
                <w:szCs w:val="22"/>
              </w:rPr>
            </w:pPr>
            <w:r w:rsidRPr="00467E94">
              <w:rPr>
                <w:sz w:val="22"/>
                <w:szCs w:val="22"/>
              </w:rPr>
              <w:t>9</w:t>
            </w:r>
          </w:p>
        </w:tc>
        <w:tc>
          <w:tcPr>
            <w:tcW w:w="1134" w:type="dxa"/>
          </w:tcPr>
          <w:p w:rsidR="006B6211" w:rsidRPr="00467E94" w:rsidRDefault="00D77466" w:rsidP="00974DED">
            <w:pPr>
              <w:tabs>
                <w:tab w:val="left" w:pos="284"/>
              </w:tabs>
              <w:spacing w:after="0" w:line="240" w:lineRule="auto"/>
              <w:jc w:val="center"/>
              <w:rPr>
                <w:sz w:val="22"/>
                <w:szCs w:val="22"/>
              </w:rPr>
            </w:pPr>
            <w:r w:rsidRPr="00467E94">
              <w:rPr>
                <w:sz w:val="22"/>
                <w:szCs w:val="22"/>
              </w:rPr>
              <w:t>1</w:t>
            </w:r>
          </w:p>
        </w:tc>
        <w:tc>
          <w:tcPr>
            <w:tcW w:w="1276" w:type="dxa"/>
          </w:tcPr>
          <w:p w:rsidR="006B6211" w:rsidRPr="00467E94" w:rsidRDefault="00D77466" w:rsidP="00974DED">
            <w:pPr>
              <w:tabs>
                <w:tab w:val="left" w:pos="284"/>
              </w:tabs>
              <w:spacing w:after="0" w:line="240" w:lineRule="auto"/>
              <w:jc w:val="center"/>
              <w:rPr>
                <w:sz w:val="22"/>
                <w:szCs w:val="22"/>
              </w:rPr>
            </w:pPr>
            <w:r w:rsidRPr="00467E94">
              <w:rPr>
                <w:sz w:val="22"/>
                <w:szCs w:val="22"/>
              </w:rPr>
              <w:t>0</w:t>
            </w:r>
          </w:p>
        </w:tc>
      </w:tr>
      <w:tr w:rsidR="006B6211" w:rsidRPr="00A677DE" w:rsidTr="00D77466">
        <w:tc>
          <w:tcPr>
            <w:tcW w:w="2659" w:type="dxa"/>
          </w:tcPr>
          <w:p w:rsidR="006B6211" w:rsidRPr="00A677DE" w:rsidRDefault="006B6211" w:rsidP="00974DED">
            <w:pPr>
              <w:tabs>
                <w:tab w:val="left" w:pos="284"/>
              </w:tabs>
              <w:spacing w:after="0"/>
              <w:rPr>
                <w:sz w:val="22"/>
                <w:szCs w:val="22"/>
              </w:rPr>
            </w:pPr>
            <w:r w:rsidRPr="00A677DE">
              <w:rPr>
                <w:sz w:val="22"/>
                <w:szCs w:val="22"/>
              </w:rPr>
              <w:t>Low risk</w:t>
            </w:r>
          </w:p>
        </w:tc>
        <w:tc>
          <w:tcPr>
            <w:tcW w:w="851" w:type="dxa"/>
          </w:tcPr>
          <w:p w:rsidR="006B6211" w:rsidRPr="00125873" w:rsidRDefault="00D77466" w:rsidP="00974DED">
            <w:pPr>
              <w:tabs>
                <w:tab w:val="left" w:pos="284"/>
              </w:tabs>
              <w:spacing w:after="0" w:line="240" w:lineRule="auto"/>
              <w:jc w:val="center"/>
              <w:rPr>
                <w:sz w:val="22"/>
                <w:szCs w:val="22"/>
              </w:rPr>
            </w:pPr>
            <w:r w:rsidRPr="00125873">
              <w:rPr>
                <w:sz w:val="22"/>
                <w:szCs w:val="22"/>
              </w:rPr>
              <w:t>10</w:t>
            </w:r>
          </w:p>
        </w:tc>
        <w:tc>
          <w:tcPr>
            <w:tcW w:w="1134" w:type="dxa"/>
          </w:tcPr>
          <w:p w:rsidR="006B6211" w:rsidRPr="00125873" w:rsidRDefault="006B6211" w:rsidP="00974DED">
            <w:pPr>
              <w:tabs>
                <w:tab w:val="left" w:pos="284"/>
              </w:tabs>
              <w:spacing w:after="0" w:line="240" w:lineRule="auto"/>
              <w:jc w:val="center"/>
              <w:rPr>
                <w:sz w:val="22"/>
                <w:szCs w:val="22"/>
              </w:rPr>
            </w:pPr>
            <w:r w:rsidRPr="00125873">
              <w:rPr>
                <w:sz w:val="22"/>
                <w:szCs w:val="22"/>
              </w:rPr>
              <w:t>0</w:t>
            </w:r>
          </w:p>
        </w:tc>
        <w:tc>
          <w:tcPr>
            <w:tcW w:w="1417" w:type="dxa"/>
          </w:tcPr>
          <w:p w:rsidR="006B6211" w:rsidRPr="00125873" w:rsidRDefault="006601C5" w:rsidP="00974DED">
            <w:pPr>
              <w:tabs>
                <w:tab w:val="left" w:pos="284"/>
              </w:tabs>
              <w:spacing w:after="0" w:line="240" w:lineRule="auto"/>
              <w:jc w:val="center"/>
              <w:rPr>
                <w:sz w:val="22"/>
                <w:szCs w:val="22"/>
              </w:rPr>
            </w:pPr>
            <w:r>
              <w:rPr>
                <w:sz w:val="22"/>
                <w:szCs w:val="22"/>
              </w:rPr>
              <w:t>8</w:t>
            </w:r>
          </w:p>
        </w:tc>
        <w:tc>
          <w:tcPr>
            <w:tcW w:w="1134" w:type="dxa"/>
          </w:tcPr>
          <w:p w:rsidR="006B6211" w:rsidRPr="00125873" w:rsidRDefault="006601C5" w:rsidP="00974DED">
            <w:pPr>
              <w:tabs>
                <w:tab w:val="left" w:pos="284"/>
              </w:tabs>
              <w:spacing w:after="0" w:line="240" w:lineRule="auto"/>
              <w:jc w:val="center"/>
              <w:rPr>
                <w:sz w:val="22"/>
                <w:szCs w:val="22"/>
              </w:rPr>
            </w:pPr>
            <w:r>
              <w:rPr>
                <w:sz w:val="22"/>
                <w:szCs w:val="22"/>
              </w:rPr>
              <w:t>2</w:t>
            </w:r>
          </w:p>
        </w:tc>
        <w:tc>
          <w:tcPr>
            <w:tcW w:w="1276" w:type="dxa"/>
          </w:tcPr>
          <w:p w:rsidR="006B6211" w:rsidRPr="00125873" w:rsidRDefault="00D77466" w:rsidP="00974DED">
            <w:pPr>
              <w:tabs>
                <w:tab w:val="left" w:pos="284"/>
              </w:tabs>
              <w:spacing w:after="0" w:line="240" w:lineRule="auto"/>
              <w:jc w:val="center"/>
              <w:rPr>
                <w:sz w:val="22"/>
                <w:szCs w:val="22"/>
              </w:rPr>
            </w:pPr>
            <w:r w:rsidRPr="00125873">
              <w:rPr>
                <w:sz w:val="22"/>
                <w:szCs w:val="22"/>
              </w:rPr>
              <w:t>0</w:t>
            </w:r>
          </w:p>
        </w:tc>
      </w:tr>
      <w:tr w:rsidR="00D77466" w:rsidRPr="00D77466" w:rsidTr="00D77466">
        <w:tc>
          <w:tcPr>
            <w:tcW w:w="2659" w:type="dxa"/>
          </w:tcPr>
          <w:p w:rsidR="00D77466" w:rsidRPr="00D77466" w:rsidRDefault="00D77466" w:rsidP="00D77466">
            <w:pPr>
              <w:tabs>
                <w:tab w:val="left" w:pos="284"/>
              </w:tabs>
              <w:spacing w:after="0"/>
              <w:jc w:val="right"/>
              <w:rPr>
                <w:b/>
                <w:sz w:val="22"/>
                <w:szCs w:val="22"/>
              </w:rPr>
            </w:pPr>
            <w:r>
              <w:rPr>
                <w:b/>
                <w:sz w:val="22"/>
                <w:szCs w:val="22"/>
              </w:rPr>
              <w:t>Total</w:t>
            </w:r>
          </w:p>
        </w:tc>
        <w:tc>
          <w:tcPr>
            <w:tcW w:w="851" w:type="dxa"/>
          </w:tcPr>
          <w:p w:rsidR="00D77466" w:rsidRPr="00125873" w:rsidRDefault="00D77466" w:rsidP="00974DED">
            <w:pPr>
              <w:tabs>
                <w:tab w:val="left" w:pos="284"/>
              </w:tabs>
              <w:spacing w:after="0"/>
              <w:jc w:val="center"/>
              <w:rPr>
                <w:b/>
                <w:sz w:val="22"/>
                <w:szCs w:val="22"/>
              </w:rPr>
            </w:pPr>
            <w:r w:rsidRPr="00125873">
              <w:rPr>
                <w:b/>
                <w:sz w:val="22"/>
                <w:szCs w:val="22"/>
              </w:rPr>
              <w:t>2</w:t>
            </w:r>
            <w:r w:rsidR="00125873" w:rsidRPr="00125873">
              <w:rPr>
                <w:b/>
                <w:sz w:val="22"/>
                <w:szCs w:val="22"/>
              </w:rPr>
              <w:t>2</w:t>
            </w:r>
          </w:p>
        </w:tc>
        <w:tc>
          <w:tcPr>
            <w:tcW w:w="1134" w:type="dxa"/>
          </w:tcPr>
          <w:p w:rsidR="00D77466" w:rsidRPr="00125873" w:rsidRDefault="00D77466" w:rsidP="00974DED">
            <w:pPr>
              <w:tabs>
                <w:tab w:val="left" w:pos="284"/>
              </w:tabs>
              <w:spacing w:after="0"/>
              <w:jc w:val="center"/>
              <w:rPr>
                <w:b/>
                <w:sz w:val="22"/>
                <w:szCs w:val="22"/>
              </w:rPr>
            </w:pPr>
            <w:r w:rsidRPr="00125873">
              <w:rPr>
                <w:b/>
                <w:sz w:val="22"/>
                <w:szCs w:val="22"/>
              </w:rPr>
              <w:t>0</w:t>
            </w:r>
          </w:p>
        </w:tc>
        <w:tc>
          <w:tcPr>
            <w:tcW w:w="1417" w:type="dxa"/>
          </w:tcPr>
          <w:p w:rsidR="00D77466" w:rsidRPr="00125873" w:rsidRDefault="00D77466" w:rsidP="00974DED">
            <w:pPr>
              <w:tabs>
                <w:tab w:val="left" w:pos="284"/>
              </w:tabs>
              <w:spacing w:after="0"/>
              <w:jc w:val="center"/>
              <w:rPr>
                <w:b/>
                <w:sz w:val="22"/>
                <w:szCs w:val="22"/>
              </w:rPr>
            </w:pPr>
            <w:r w:rsidRPr="00125873">
              <w:rPr>
                <w:b/>
                <w:sz w:val="22"/>
                <w:szCs w:val="22"/>
              </w:rPr>
              <w:t>1</w:t>
            </w:r>
            <w:r w:rsidR="006601C5">
              <w:rPr>
                <w:b/>
                <w:sz w:val="22"/>
                <w:szCs w:val="22"/>
              </w:rPr>
              <w:t>9</w:t>
            </w:r>
          </w:p>
        </w:tc>
        <w:tc>
          <w:tcPr>
            <w:tcW w:w="1134" w:type="dxa"/>
          </w:tcPr>
          <w:p w:rsidR="00D77466" w:rsidRPr="00125873" w:rsidRDefault="006601C5" w:rsidP="00974DED">
            <w:pPr>
              <w:tabs>
                <w:tab w:val="left" w:pos="284"/>
              </w:tabs>
              <w:spacing w:after="0"/>
              <w:jc w:val="center"/>
              <w:rPr>
                <w:b/>
                <w:sz w:val="22"/>
                <w:szCs w:val="22"/>
              </w:rPr>
            </w:pPr>
            <w:r>
              <w:rPr>
                <w:b/>
                <w:sz w:val="22"/>
                <w:szCs w:val="22"/>
              </w:rPr>
              <w:t>3</w:t>
            </w:r>
          </w:p>
        </w:tc>
        <w:tc>
          <w:tcPr>
            <w:tcW w:w="1276" w:type="dxa"/>
          </w:tcPr>
          <w:p w:rsidR="00D77466" w:rsidRPr="00125873" w:rsidRDefault="00D77466" w:rsidP="00974DED">
            <w:pPr>
              <w:tabs>
                <w:tab w:val="left" w:pos="284"/>
              </w:tabs>
              <w:spacing w:after="0"/>
              <w:jc w:val="center"/>
              <w:rPr>
                <w:b/>
                <w:sz w:val="22"/>
                <w:szCs w:val="22"/>
              </w:rPr>
            </w:pPr>
            <w:r w:rsidRPr="00125873">
              <w:rPr>
                <w:b/>
                <w:sz w:val="22"/>
                <w:szCs w:val="22"/>
              </w:rPr>
              <w:t>0</w:t>
            </w:r>
          </w:p>
        </w:tc>
      </w:tr>
      <w:tr w:rsidR="00D77466" w:rsidRPr="00217FC6" w:rsidTr="00D77466">
        <w:tc>
          <w:tcPr>
            <w:tcW w:w="2659" w:type="dxa"/>
          </w:tcPr>
          <w:p w:rsidR="00D77466" w:rsidRPr="00217FC6" w:rsidRDefault="00D77466" w:rsidP="006B6211">
            <w:pPr>
              <w:tabs>
                <w:tab w:val="left" w:pos="284"/>
              </w:tabs>
              <w:jc w:val="center"/>
              <w:rPr>
                <w:b/>
                <w:sz w:val="22"/>
                <w:szCs w:val="22"/>
              </w:rPr>
            </w:pPr>
          </w:p>
        </w:tc>
        <w:tc>
          <w:tcPr>
            <w:tcW w:w="5812" w:type="dxa"/>
            <w:gridSpan w:val="5"/>
          </w:tcPr>
          <w:p w:rsidR="00D77466" w:rsidRPr="006B6211" w:rsidRDefault="00D77466" w:rsidP="00675CDB">
            <w:pPr>
              <w:tabs>
                <w:tab w:val="left" w:pos="284"/>
              </w:tabs>
              <w:jc w:val="center"/>
              <w:rPr>
                <w:b/>
                <w:sz w:val="22"/>
                <w:szCs w:val="22"/>
              </w:rPr>
            </w:pPr>
            <w:r>
              <w:rPr>
                <w:b/>
                <w:sz w:val="22"/>
                <w:szCs w:val="22"/>
              </w:rPr>
              <w:t>Assurance that action has been taken</w:t>
            </w:r>
          </w:p>
        </w:tc>
      </w:tr>
      <w:tr w:rsidR="00A677DE" w:rsidRPr="00A677DE" w:rsidTr="00D77466">
        <w:tc>
          <w:tcPr>
            <w:tcW w:w="2659" w:type="dxa"/>
          </w:tcPr>
          <w:p w:rsidR="005B2B4D" w:rsidRPr="00A677DE" w:rsidRDefault="005B2B4D" w:rsidP="00D451A6">
            <w:pPr>
              <w:tabs>
                <w:tab w:val="left" w:pos="284"/>
              </w:tabs>
              <w:spacing w:after="0"/>
              <w:rPr>
                <w:sz w:val="22"/>
                <w:szCs w:val="22"/>
              </w:rPr>
            </w:pPr>
            <w:r w:rsidRPr="00A677DE">
              <w:rPr>
                <w:sz w:val="22"/>
                <w:szCs w:val="22"/>
              </w:rPr>
              <w:t>High risk</w:t>
            </w:r>
          </w:p>
        </w:tc>
        <w:tc>
          <w:tcPr>
            <w:tcW w:w="851" w:type="dxa"/>
          </w:tcPr>
          <w:p w:rsidR="005B2B4D" w:rsidRPr="00125873" w:rsidRDefault="00D77466" w:rsidP="007A7CE1">
            <w:pPr>
              <w:tabs>
                <w:tab w:val="left" w:pos="284"/>
              </w:tabs>
              <w:spacing w:after="0" w:line="240" w:lineRule="auto"/>
              <w:jc w:val="center"/>
              <w:rPr>
                <w:sz w:val="22"/>
                <w:szCs w:val="22"/>
              </w:rPr>
            </w:pPr>
            <w:r w:rsidRPr="00125873">
              <w:rPr>
                <w:sz w:val="22"/>
                <w:szCs w:val="22"/>
              </w:rPr>
              <w:t>6</w:t>
            </w:r>
          </w:p>
        </w:tc>
        <w:tc>
          <w:tcPr>
            <w:tcW w:w="1134" w:type="dxa"/>
          </w:tcPr>
          <w:p w:rsidR="005B2B4D" w:rsidRPr="00125873" w:rsidRDefault="005B2B4D" w:rsidP="00D451A6">
            <w:pPr>
              <w:tabs>
                <w:tab w:val="left" w:pos="284"/>
              </w:tabs>
              <w:spacing w:after="0" w:line="240" w:lineRule="auto"/>
              <w:jc w:val="center"/>
              <w:rPr>
                <w:sz w:val="22"/>
                <w:szCs w:val="22"/>
              </w:rPr>
            </w:pPr>
            <w:r w:rsidRPr="00125873">
              <w:rPr>
                <w:sz w:val="22"/>
                <w:szCs w:val="22"/>
              </w:rPr>
              <w:t>0</w:t>
            </w:r>
          </w:p>
        </w:tc>
        <w:tc>
          <w:tcPr>
            <w:tcW w:w="1417" w:type="dxa"/>
          </w:tcPr>
          <w:p w:rsidR="005B2B4D" w:rsidRPr="00125873" w:rsidRDefault="00D77466" w:rsidP="00D451A6">
            <w:pPr>
              <w:tabs>
                <w:tab w:val="left" w:pos="284"/>
              </w:tabs>
              <w:spacing w:after="0" w:line="240" w:lineRule="auto"/>
              <w:jc w:val="center"/>
              <w:rPr>
                <w:sz w:val="22"/>
                <w:szCs w:val="22"/>
              </w:rPr>
            </w:pPr>
            <w:r w:rsidRPr="00125873">
              <w:rPr>
                <w:sz w:val="22"/>
                <w:szCs w:val="22"/>
              </w:rPr>
              <w:t>6</w:t>
            </w:r>
          </w:p>
        </w:tc>
        <w:tc>
          <w:tcPr>
            <w:tcW w:w="1134" w:type="dxa"/>
          </w:tcPr>
          <w:p w:rsidR="005B2B4D" w:rsidRPr="00125873" w:rsidRDefault="00D77466" w:rsidP="00D451A6">
            <w:pPr>
              <w:tabs>
                <w:tab w:val="left" w:pos="284"/>
              </w:tabs>
              <w:spacing w:after="0" w:line="240" w:lineRule="auto"/>
              <w:jc w:val="center"/>
              <w:rPr>
                <w:sz w:val="22"/>
                <w:szCs w:val="22"/>
              </w:rPr>
            </w:pPr>
            <w:r w:rsidRPr="00125873">
              <w:rPr>
                <w:sz w:val="22"/>
                <w:szCs w:val="22"/>
              </w:rPr>
              <w:t>0</w:t>
            </w:r>
          </w:p>
        </w:tc>
        <w:tc>
          <w:tcPr>
            <w:tcW w:w="1276" w:type="dxa"/>
          </w:tcPr>
          <w:p w:rsidR="005B2B4D" w:rsidRPr="00125873" w:rsidRDefault="00D77466" w:rsidP="00D451A6">
            <w:pPr>
              <w:tabs>
                <w:tab w:val="left" w:pos="284"/>
              </w:tabs>
              <w:spacing w:after="0" w:line="240" w:lineRule="auto"/>
              <w:jc w:val="center"/>
              <w:rPr>
                <w:sz w:val="22"/>
                <w:szCs w:val="22"/>
              </w:rPr>
            </w:pPr>
            <w:r w:rsidRPr="00125873">
              <w:rPr>
                <w:sz w:val="22"/>
                <w:szCs w:val="22"/>
              </w:rPr>
              <w:t>0</w:t>
            </w:r>
          </w:p>
        </w:tc>
      </w:tr>
      <w:tr w:rsidR="00A677DE" w:rsidRPr="00A677DE" w:rsidTr="00D77466">
        <w:tc>
          <w:tcPr>
            <w:tcW w:w="2659" w:type="dxa"/>
          </w:tcPr>
          <w:p w:rsidR="005B2B4D" w:rsidRPr="00A677DE" w:rsidRDefault="005B2B4D" w:rsidP="00D451A6">
            <w:pPr>
              <w:tabs>
                <w:tab w:val="left" w:pos="284"/>
              </w:tabs>
              <w:spacing w:after="0"/>
              <w:rPr>
                <w:sz w:val="22"/>
                <w:szCs w:val="22"/>
              </w:rPr>
            </w:pPr>
            <w:r w:rsidRPr="00A677DE">
              <w:rPr>
                <w:sz w:val="22"/>
                <w:szCs w:val="22"/>
              </w:rPr>
              <w:t>Moderate risk</w:t>
            </w:r>
          </w:p>
        </w:tc>
        <w:tc>
          <w:tcPr>
            <w:tcW w:w="851" w:type="dxa"/>
          </w:tcPr>
          <w:p w:rsidR="005B2B4D" w:rsidRPr="00125873" w:rsidRDefault="00125873" w:rsidP="007A7CE1">
            <w:pPr>
              <w:tabs>
                <w:tab w:val="left" w:pos="284"/>
              </w:tabs>
              <w:spacing w:after="0" w:line="240" w:lineRule="auto"/>
              <w:jc w:val="center"/>
              <w:rPr>
                <w:sz w:val="22"/>
                <w:szCs w:val="22"/>
              </w:rPr>
            </w:pPr>
            <w:r w:rsidRPr="00125873">
              <w:rPr>
                <w:sz w:val="22"/>
                <w:szCs w:val="22"/>
              </w:rPr>
              <w:t>6</w:t>
            </w:r>
          </w:p>
        </w:tc>
        <w:tc>
          <w:tcPr>
            <w:tcW w:w="1134" w:type="dxa"/>
          </w:tcPr>
          <w:p w:rsidR="005B2B4D" w:rsidRPr="00125873" w:rsidRDefault="005B2B4D" w:rsidP="00D451A6">
            <w:pPr>
              <w:tabs>
                <w:tab w:val="left" w:pos="284"/>
              </w:tabs>
              <w:spacing w:after="0" w:line="240" w:lineRule="auto"/>
              <w:jc w:val="center"/>
              <w:rPr>
                <w:sz w:val="22"/>
                <w:szCs w:val="22"/>
              </w:rPr>
            </w:pPr>
            <w:r w:rsidRPr="00125873">
              <w:rPr>
                <w:sz w:val="22"/>
                <w:szCs w:val="22"/>
              </w:rPr>
              <w:t>0</w:t>
            </w:r>
          </w:p>
        </w:tc>
        <w:tc>
          <w:tcPr>
            <w:tcW w:w="1417" w:type="dxa"/>
          </w:tcPr>
          <w:p w:rsidR="005B2B4D" w:rsidRPr="00125873" w:rsidRDefault="00D77466" w:rsidP="00D451A6">
            <w:pPr>
              <w:tabs>
                <w:tab w:val="left" w:pos="284"/>
              </w:tabs>
              <w:spacing w:after="0" w:line="240" w:lineRule="auto"/>
              <w:jc w:val="center"/>
              <w:rPr>
                <w:sz w:val="22"/>
                <w:szCs w:val="22"/>
              </w:rPr>
            </w:pPr>
            <w:r w:rsidRPr="00125873">
              <w:rPr>
                <w:sz w:val="22"/>
                <w:szCs w:val="22"/>
              </w:rPr>
              <w:t>5</w:t>
            </w:r>
          </w:p>
        </w:tc>
        <w:tc>
          <w:tcPr>
            <w:tcW w:w="1134" w:type="dxa"/>
          </w:tcPr>
          <w:p w:rsidR="005B2B4D" w:rsidRPr="00125873" w:rsidRDefault="00125873" w:rsidP="00D451A6">
            <w:pPr>
              <w:tabs>
                <w:tab w:val="left" w:pos="284"/>
              </w:tabs>
              <w:spacing w:after="0" w:line="240" w:lineRule="auto"/>
              <w:jc w:val="center"/>
              <w:rPr>
                <w:sz w:val="22"/>
                <w:szCs w:val="22"/>
              </w:rPr>
            </w:pPr>
            <w:r w:rsidRPr="00125873">
              <w:rPr>
                <w:sz w:val="22"/>
                <w:szCs w:val="22"/>
              </w:rPr>
              <w:t>1</w:t>
            </w:r>
          </w:p>
        </w:tc>
        <w:tc>
          <w:tcPr>
            <w:tcW w:w="1276" w:type="dxa"/>
          </w:tcPr>
          <w:p w:rsidR="005B2B4D" w:rsidRPr="00125873" w:rsidRDefault="005A10F9" w:rsidP="00D451A6">
            <w:pPr>
              <w:tabs>
                <w:tab w:val="left" w:pos="284"/>
              </w:tabs>
              <w:spacing w:after="0" w:line="240" w:lineRule="auto"/>
              <w:jc w:val="center"/>
              <w:rPr>
                <w:sz w:val="22"/>
                <w:szCs w:val="22"/>
              </w:rPr>
            </w:pPr>
            <w:r w:rsidRPr="00125873">
              <w:rPr>
                <w:sz w:val="22"/>
                <w:szCs w:val="22"/>
              </w:rPr>
              <w:t>0</w:t>
            </w:r>
          </w:p>
        </w:tc>
      </w:tr>
      <w:tr w:rsidR="00D77466" w:rsidRPr="00A677DE" w:rsidTr="00D77466">
        <w:tc>
          <w:tcPr>
            <w:tcW w:w="2659" w:type="dxa"/>
          </w:tcPr>
          <w:p w:rsidR="00D77466" w:rsidRPr="00A677DE" w:rsidRDefault="00D77466" w:rsidP="00D77466">
            <w:pPr>
              <w:tabs>
                <w:tab w:val="left" w:pos="284"/>
              </w:tabs>
              <w:spacing w:after="0"/>
              <w:rPr>
                <w:sz w:val="22"/>
                <w:szCs w:val="22"/>
              </w:rPr>
            </w:pPr>
            <w:r w:rsidRPr="00A677DE">
              <w:rPr>
                <w:sz w:val="22"/>
                <w:szCs w:val="22"/>
              </w:rPr>
              <w:t>Low risk</w:t>
            </w:r>
          </w:p>
        </w:tc>
        <w:tc>
          <w:tcPr>
            <w:tcW w:w="851" w:type="dxa"/>
          </w:tcPr>
          <w:p w:rsidR="00D77466" w:rsidRPr="00125873" w:rsidRDefault="00D77466" w:rsidP="00D77466">
            <w:pPr>
              <w:tabs>
                <w:tab w:val="left" w:pos="284"/>
              </w:tabs>
              <w:spacing w:after="0" w:line="240" w:lineRule="auto"/>
              <w:jc w:val="center"/>
              <w:rPr>
                <w:sz w:val="22"/>
                <w:szCs w:val="22"/>
              </w:rPr>
            </w:pPr>
            <w:r w:rsidRPr="00125873">
              <w:rPr>
                <w:sz w:val="22"/>
                <w:szCs w:val="22"/>
              </w:rPr>
              <w:t>1</w:t>
            </w:r>
          </w:p>
        </w:tc>
        <w:tc>
          <w:tcPr>
            <w:tcW w:w="1134" w:type="dxa"/>
          </w:tcPr>
          <w:p w:rsidR="00D77466" w:rsidRPr="00125873" w:rsidRDefault="00D77466" w:rsidP="00D77466">
            <w:pPr>
              <w:tabs>
                <w:tab w:val="left" w:pos="284"/>
              </w:tabs>
              <w:spacing w:after="0" w:line="240" w:lineRule="auto"/>
              <w:jc w:val="center"/>
              <w:rPr>
                <w:sz w:val="22"/>
                <w:szCs w:val="22"/>
              </w:rPr>
            </w:pPr>
            <w:r w:rsidRPr="00125873">
              <w:rPr>
                <w:sz w:val="22"/>
                <w:szCs w:val="22"/>
              </w:rPr>
              <w:t>0</w:t>
            </w:r>
          </w:p>
        </w:tc>
        <w:tc>
          <w:tcPr>
            <w:tcW w:w="1417" w:type="dxa"/>
          </w:tcPr>
          <w:p w:rsidR="00D77466" w:rsidRPr="00125873" w:rsidRDefault="00D77466" w:rsidP="00D77466">
            <w:pPr>
              <w:tabs>
                <w:tab w:val="left" w:pos="284"/>
              </w:tabs>
              <w:spacing w:after="0" w:line="240" w:lineRule="auto"/>
              <w:jc w:val="center"/>
              <w:rPr>
                <w:sz w:val="22"/>
                <w:szCs w:val="22"/>
              </w:rPr>
            </w:pPr>
            <w:r w:rsidRPr="00125873">
              <w:rPr>
                <w:sz w:val="22"/>
                <w:szCs w:val="22"/>
              </w:rPr>
              <w:t>1</w:t>
            </w:r>
          </w:p>
        </w:tc>
        <w:tc>
          <w:tcPr>
            <w:tcW w:w="1134" w:type="dxa"/>
          </w:tcPr>
          <w:p w:rsidR="00D77466" w:rsidRPr="00125873" w:rsidRDefault="00D77466" w:rsidP="00D77466">
            <w:pPr>
              <w:tabs>
                <w:tab w:val="left" w:pos="284"/>
              </w:tabs>
              <w:spacing w:after="0" w:line="240" w:lineRule="auto"/>
              <w:jc w:val="center"/>
              <w:rPr>
                <w:sz w:val="22"/>
                <w:szCs w:val="22"/>
              </w:rPr>
            </w:pPr>
            <w:r w:rsidRPr="00125873">
              <w:rPr>
                <w:sz w:val="22"/>
                <w:szCs w:val="22"/>
              </w:rPr>
              <w:t>0</w:t>
            </w:r>
          </w:p>
        </w:tc>
        <w:tc>
          <w:tcPr>
            <w:tcW w:w="1276" w:type="dxa"/>
          </w:tcPr>
          <w:p w:rsidR="00D77466" w:rsidRPr="00125873" w:rsidRDefault="00D77466" w:rsidP="00D77466">
            <w:pPr>
              <w:tabs>
                <w:tab w:val="left" w:pos="284"/>
              </w:tabs>
              <w:spacing w:after="0" w:line="240" w:lineRule="auto"/>
              <w:jc w:val="center"/>
              <w:rPr>
                <w:sz w:val="22"/>
                <w:szCs w:val="22"/>
              </w:rPr>
            </w:pPr>
            <w:r w:rsidRPr="00125873">
              <w:rPr>
                <w:sz w:val="22"/>
                <w:szCs w:val="22"/>
              </w:rPr>
              <w:t>0</w:t>
            </w:r>
          </w:p>
        </w:tc>
      </w:tr>
      <w:tr w:rsidR="00D77466" w:rsidRPr="00D77466" w:rsidTr="00D77466">
        <w:tc>
          <w:tcPr>
            <w:tcW w:w="2659" w:type="dxa"/>
          </w:tcPr>
          <w:p w:rsidR="00D77466" w:rsidRPr="00D77466" w:rsidRDefault="00D77466" w:rsidP="00D77466">
            <w:pPr>
              <w:tabs>
                <w:tab w:val="left" w:pos="284"/>
              </w:tabs>
              <w:spacing w:after="0"/>
              <w:jc w:val="right"/>
              <w:rPr>
                <w:b/>
                <w:sz w:val="22"/>
                <w:szCs w:val="22"/>
              </w:rPr>
            </w:pPr>
            <w:r>
              <w:rPr>
                <w:b/>
                <w:sz w:val="22"/>
                <w:szCs w:val="22"/>
              </w:rPr>
              <w:t>Total</w:t>
            </w:r>
          </w:p>
        </w:tc>
        <w:tc>
          <w:tcPr>
            <w:tcW w:w="851" w:type="dxa"/>
          </w:tcPr>
          <w:p w:rsidR="00D77466" w:rsidRPr="00125873" w:rsidRDefault="00D77466" w:rsidP="00D77466">
            <w:pPr>
              <w:tabs>
                <w:tab w:val="left" w:pos="284"/>
              </w:tabs>
              <w:spacing w:after="0"/>
              <w:jc w:val="center"/>
              <w:rPr>
                <w:b/>
                <w:sz w:val="22"/>
                <w:szCs w:val="22"/>
              </w:rPr>
            </w:pPr>
            <w:r w:rsidRPr="00125873">
              <w:rPr>
                <w:b/>
                <w:sz w:val="22"/>
                <w:szCs w:val="22"/>
              </w:rPr>
              <w:t>1</w:t>
            </w:r>
            <w:r w:rsidR="00125873">
              <w:rPr>
                <w:b/>
                <w:sz w:val="22"/>
                <w:szCs w:val="22"/>
              </w:rPr>
              <w:t>3</w:t>
            </w:r>
          </w:p>
        </w:tc>
        <w:tc>
          <w:tcPr>
            <w:tcW w:w="1134" w:type="dxa"/>
          </w:tcPr>
          <w:p w:rsidR="00D77466" w:rsidRPr="00125873" w:rsidRDefault="00D77466" w:rsidP="00D77466">
            <w:pPr>
              <w:tabs>
                <w:tab w:val="left" w:pos="284"/>
              </w:tabs>
              <w:spacing w:after="0"/>
              <w:jc w:val="center"/>
              <w:rPr>
                <w:b/>
                <w:sz w:val="22"/>
                <w:szCs w:val="22"/>
              </w:rPr>
            </w:pPr>
            <w:r w:rsidRPr="00125873">
              <w:rPr>
                <w:b/>
                <w:sz w:val="22"/>
                <w:szCs w:val="22"/>
              </w:rPr>
              <w:t>0</w:t>
            </w:r>
          </w:p>
        </w:tc>
        <w:tc>
          <w:tcPr>
            <w:tcW w:w="1417" w:type="dxa"/>
          </w:tcPr>
          <w:p w:rsidR="00D77466" w:rsidRPr="00125873" w:rsidRDefault="00D77466" w:rsidP="00D77466">
            <w:pPr>
              <w:tabs>
                <w:tab w:val="left" w:pos="284"/>
              </w:tabs>
              <w:spacing w:after="0"/>
              <w:jc w:val="center"/>
              <w:rPr>
                <w:b/>
                <w:sz w:val="22"/>
                <w:szCs w:val="22"/>
              </w:rPr>
            </w:pPr>
            <w:r w:rsidRPr="00125873">
              <w:rPr>
                <w:b/>
                <w:sz w:val="22"/>
                <w:szCs w:val="22"/>
              </w:rPr>
              <w:t>12</w:t>
            </w:r>
          </w:p>
        </w:tc>
        <w:tc>
          <w:tcPr>
            <w:tcW w:w="1134" w:type="dxa"/>
          </w:tcPr>
          <w:p w:rsidR="00D77466" w:rsidRPr="00125873" w:rsidRDefault="00125873" w:rsidP="00D77466">
            <w:pPr>
              <w:tabs>
                <w:tab w:val="left" w:pos="284"/>
              </w:tabs>
              <w:spacing w:after="0"/>
              <w:jc w:val="center"/>
              <w:rPr>
                <w:b/>
                <w:sz w:val="22"/>
                <w:szCs w:val="22"/>
              </w:rPr>
            </w:pPr>
            <w:r>
              <w:rPr>
                <w:b/>
                <w:sz w:val="22"/>
                <w:szCs w:val="22"/>
              </w:rPr>
              <w:t>1</w:t>
            </w:r>
          </w:p>
        </w:tc>
        <w:tc>
          <w:tcPr>
            <w:tcW w:w="1276" w:type="dxa"/>
          </w:tcPr>
          <w:p w:rsidR="00D77466" w:rsidRPr="00125873" w:rsidRDefault="00D77466" w:rsidP="00D77466">
            <w:pPr>
              <w:tabs>
                <w:tab w:val="left" w:pos="284"/>
              </w:tabs>
              <w:spacing w:after="0"/>
              <w:jc w:val="center"/>
              <w:rPr>
                <w:b/>
                <w:sz w:val="22"/>
                <w:szCs w:val="22"/>
              </w:rPr>
            </w:pPr>
            <w:r w:rsidRPr="00125873">
              <w:rPr>
                <w:b/>
                <w:sz w:val="22"/>
                <w:szCs w:val="22"/>
              </w:rPr>
              <w:t>1</w:t>
            </w:r>
          </w:p>
        </w:tc>
      </w:tr>
    </w:tbl>
    <w:p w:rsidR="00F852D1" w:rsidRPr="00C97A52" w:rsidRDefault="00F852D1" w:rsidP="00C630F6">
      <w:pPr>
        <w:pStyle w:val="Heading3"/>
        <w:tabs>
          <w:tab w:val="left" w:pos="284"/>
        </w:tabs>
        <w:spacing w:after="120"/>
        <w:rPr>
          <w:rFonts w:ascii="Arial" w:hAnsi="Arial" w:cs="Arial"/>
        </w:rPr>
      </w:pPr>
      <w:r w:rsidRPr="00C97A52">
        <w:rPr>
          <w:rFonts w:ascii="Arial" w:hAnsi="Arial" w:cs="Arial"/>
        </w:rPr>
        <w:t>Wider sources of assurance available to the county council</w:t>
      </w:r>
    </w:p>
    <w:p w:rsidR="00092267" w:rsidRPr="00914620" w:rsidRDefault="00F852D1" w:rsidP="00A60787">
      <w:pPr>
        <w:numPr>
          <w:ilvl w:val="1"/>
          <w:numId w:val="1"/>
        </w:numPr>
        <w:spacing w:before="120" w:after="120"/>
      </w:pPr>
      <w:r>
        <w:t>As</w:t>
      </w:r>
      <w:r w:rsidR="008246BA">
        <w:t xml:space="preserve">surance has been </w:t>
      </w:r>
      <w:r>
        <w:t xml:space="preserve">provided to the council by </w:t>
      </w:r>
      <w:r w:rsidR="00EA1D06">
        <w:t>Grant Thornton</w:t>
      </w:r>
      <w:r w:rsidR="00B0123B">
        <w:t xml:space="preserve"> as the council's external auditor for the year. </w:t>
      </w:r>
      <w:r w:rsidR="00EA1D06" w:rsidRPr="00A60787">
        <w:rPr>
          <w:color w:val="000000" w:themeColor="text1"/>
        </w:rPr>
        <w:t xml:space="preserve">Grant Thornton </w:t>
      </w:r>
      <w:r w:rsidR="001839E4" w:rsidRPr="00A60787">
        <w:rPr>
          <w:color w:val="000000" w:themeColor="text1"/>
        </w:rPr>
        <w:t xml:space="preserve">issued its annual </w:t>
      </w:r>
      <w:r w:rsidR="00BD6D3F" w:rsidRPr="00A60787">
        <w:rPr>
          <w:color w:val="000000" w:themeColor="text1"/>
        </w:rPr>
        <w:t xml:space="preserve">audit letter relating to </w:t>
      </w:r>
      <w:r w:rsidR="001839E4" w:rsidRPr="00A60787">
        <w:rPr>
          <w:color w:val="000000" w:themeColor="text1"/>
        </w:rPr>
        <w:t>201</w:t>
      </w:r>
      <w:r w:rsidR="00176D18" w:rsidRPr="00A60787">
        <w:rPr>
          <w:color w:val="000000" w:themeColor="text1"/>
        </w:rPr>
        <w:t>3/14</w:t>
      </w:r>
      <w:r w:rsidR="001839E4" w:rsidRPr="00A60787">
        <w:rPr>
          <w:color w:val="000000" w:themeColor="text1"/>
        </w:rPr>
        <w:t xml:space="preserve"> in </w:t>
      </w:r>
      <w:r w:rsidR="00A60787" w:rsidRPr="00A60787">
        <w:rPr>
          <w:color w:val="000000" w:themeColor="text1"/>
        </w:rPr>
        <w:t>October</w:t>
      </w:r>
      <w:r w:rsidR="00A24DAE" w:rsidRPr="00A60787">
        <w:rPr>
          <w:color w:val="000000" w:themeColor="text1"/>
        </w:rPr>
        <w:t xml:space="preserve"> 201</w:t>
      </w:r>
      <w:r w:rsidR="00176D18" w:rsidRPr="00A60787">
        <w:rPr>
          <w:color w:val="000000" w:themeColor="text1"/>
        </w:rPr>
        <w:t>4</w:t>
      </w:r>
      <w:r w:rsidR="00BD6D3F" w:rsidRPr="00A60787">
        <w:rPr>
          <w:color w:val="000000" w:themeColor="text1"/>
        </w:rPr>
        <w:t>, and</w:t>
      </w:r>
      <w:r w:rsidR="00BD6D3F">
        <w:t xml:space="preserve"> gave </w:t>
      </w:r>
      <w:r w:rsidR="00176D18">
        <w:t xml:space="preserve">a </w:t>
      </w:r>
      <w:r w:rsidR="00BD6D3F">
        <w:t>qualified opinion on the annual financial statements</w:t>
      </w:r>
      <w:r w:rsidR="00176D18">
        <w:t>, but qualified its opinion on</w:t>
      </w:r>
      <w:r w:rsidR="00BD6D3F">
        <w:t xml:space="preserve"> the council's value for money arrangements.</w:t>
      </w:r>
      <w:r w:rsidR="00092267">
        <w:t xml:space="preserve"> </w:t>
      </w:r>
      <w:r w:rsidR="00092267">
        <w:rPr>
          <w:rFonts w:cs="Arial"/>
        </w:rPr>
        <w:t xml:space="preserve">A copy of </w:t>
      </w:r>
      <w:r w:rsidR="00092267" w:rsidRPr="00A60787">
        <w:rPr>
          <w:rFonts w:cs="Arial"/>
          <w:color w:val="000000" w:themeColor="text1"/>
        </w:rPr>
        <w:t xml:space="preserve">the report is available at: </w:t>
      </w:r>
      <w:hyperlink r:id="rId17" w:history="1">
        <w:r w:rsidR="00A60787" w:rsidRPr="00A60787">
          <w:rPr>
            <w:rStyle w:val="Hyperlink"/>
            <w:rFonts w:cs="Arial"/>
            <w:color w:val="000000" w:themeColor="text1"/>
          </w:rPr>
          <w:t>http://mgintranet/ieListDocuments.aspx?CId=728&amp;MId=3009&amp;Ver=4</w:t>
        </w:r>
      </w:hyperlink>
      <w:r w:rsidR="00A60787" w:rsidRPr="00A60787">
        <w:rPr>
          <w:rFonts w:cs="Arial"/>
          <w:color w:val="000000" w:themeColor="text1"/>
        </w:rPr>
        <w:t xml:space="preserve"> </w:t>
      </w:r>
      <w:r w:rsidR="00A24DAE" w:rsidRPr="00A60787">
        <w:rPr>
          <w:rFonts w:cs="Arial"/>
          <w:color w:val="000000" w:themeColor="text1"/>
        </w:rPr>
        <w:t xml:space="preserve">(item </w:t>
      </w:r>
      <w:r w:rsidR="00A60787" w:rsidRPr="00A60787">
        <w:rPr>
          <w:rFonts w:cs="Arial"/>
          <w:color w:val="000000" w:themeColor="text1"/>
        </w:rPr>
        <w:t>9</w:t>
      </w:r>
      <w:r w:rsidR="00A24DAE" w:rsidRPr="00A60787">
        <w:rPr>
          <w:rFonts w:cs="Arial"/>
          <w:color w:val="000000" w:themeColor="text1"/>
        </w:rPr>
        <w:t>)</w:t>
      </w:r>
      <w:r w:rsidR="00A82AF5" w:rsidRPr="00A60787">
        <w:rPr>
          <w:rFonts w:cs="Arial"/>
          <w:color w:val="000000" w:themeColor="text1"/>
        </w:rPr>
        <w:t>.</w:t>
      </w:r>
      <w:r w:rsidR="003E44F1" w:rsidRPr="00A60787">
        <w:rPr>
          <w:color w:val="000000" w:themeColor="text1"/>
        </w:rPr>
        <w:t xml:space="preserve"> </w:t>
      </w:r>
      <w:r w:rsidR="002044AA" w:rsidRPr="00914620">
        <w:rPr>
          <w:rFonts w:cs="Arial"/>
        </w:rPr>
        <w:t xml:space="preserve">The </w:t>
      </w:r>
      <w:r w:rsidR="00A82AF5" w:rsidRPr="00914620">
        <w:rPr>
          <w:rFonts w:cs="Arial"/>
        </w:rPr>
        <w:t xml:space="preserve">external auditor's </w:t>
      </w:r>
      <w:r w:rsidR="00176D18" w:rsidRPr="00914620">
        <w:rPr>
          <w:rFonts w:cs="Arial"/>
        </w:rPr>
        <w:t>annual audit letter for 2014/15</w:t>
      </w:r>
      <w:r w:rsidR="002044AA" w:rsidRPr="00914620">
        <w:rPr>
          <w:rFonts w:cs="Arial"/>
        </w:rPr>
        <w:t xml:space="preserve"> </w:t>
      </w:r>
      <w:r w:rsidR="00A82AF5" w:rsidRPr="00914620">
        <w:rPr>
          <w:rFonts w:cs="Arial"/>
        </w:rPr>
        <w:t xml:space="preserve">is </w:t>
      </w:r>
      <w:r w:rsidR="003E44F1" w:rsidRPr="00914620">
        <w:rPr>
          <w:rFonts w:cs="Arial"/>
        </w:rPr>
        <w:t>expected</w:t>
      </w:r>
      <w:r w:rsidR="00A82AF5" w:rsidRPr="00914620">
        <w:rPr>
          <w:rFonts w:cs="Arial"/>
        </w:rPr>
        <w:t xml:space="preserve"> to</w:t>
      </w:r>
      <w:r w:rsidR="002044AA" w:rsidRPr="00914620">
        <w:rPr>
          <w:rFonts w:cs="Arial"/>
        </w:rPr>
        <w:t xml:space="preserve"> be availabl</w:t>
      </w:r>
      <w:r w:rsidR="00A82AF5" w:rsidRPr="00914620">
        <w:rPr>
          <w:rFonts w:cs="Arial"/>
        </w:rPr>
        <w:t>e in September 201</w:t>
      </w:r>
      <w:r w:rsidR="00176D18" w:rsidRPr="00914620">
        <w:rPr>
          <w:rFonts w:cs="Arial"/>
        </w:rPr>
        <w:t>5</w:t>
      </w:r>
      <w:r w:rsidR="00A82AF5" w:rsidRPr="00914620">
        <w:rPr>
          <w:rFonts w:cs="Arial"/>
        </w:rPr>
        <w:t>.</w:t>
      </w:r>
    </w:p>
    <w:p w:rsidR="009D3F19" w:rsidRDefault="009D3F19">
      <w:pPr>
        <w:spacing w:before="0" w:after="0"/>
        <w:rPr>
          <w:rFonts w:cs="Arial"/>
          <w:b/>
          <w:bCs/>
          <w:kern w:val="32"/>
          <w:sz w:val="32"/>
          <w:szCs w:val="32"/>
        </w:rPr>
      </w:pPr>
      <w:r>
        <w:rPr>
          <w:rFonts w:cs="Arial"/>
        </w:rPr>
        <w:br w:type="page"/>
      </w:r>
    </w:p>
    <w:p w:rsidR="00AB7F56" w:rsidRPr="00F92FDE" w:rsidRDefault="00AB7F56" w:rsidP="002C69C9">
      <w:pPr>
        <w:pStyle w:val="Heading1"/>
        <w:numPr>
          <w:ilvl w:val="0"/>
          <w:numId w:val="1"/>
        </w:numPr>
        <w:spacing w:after="120"/>
        <w:rPr>
          <w:rFonts w:ascii="Arial" w:hAnsi="Arial" w:cs="Arial"/>
        </w:rPr>
      </w:pPr>
      <w:r>
        <w:rPr>
          <w:rFonts w:ascii="Arial" w:hAnsi="Arial" w:cs="Arial"/>
        </w:rPr>
        <w:lastRenderedPageBreak/>
        <w:t>Key issues and themes</w:t>
      </w:r>
    </w:p>
    <w:p w:rsidR="00200FBB" w:rsidRPr="00156BC4" w:rsidRDefault="00200FBB" w:rsidP="00200FBB">
      <w:pPr>
        <w:numPr>
          <w:ilvl w:val="1"/>
          <w:numId w:val="1"/>
        </w:numPr>
        <w:spacing w:before="120" w:after="120"/>
      </w:pPr>
      <w:r w:rsidRPr="00156BC4">
        <w:rPr>
          <w:rFonts w:cs="Arial"/>
        </w:rPr>
        <w:t xml:space="preserve">The council's Management Team </w:t>
      </w:r>
      <w:r w:rsidR="00176D18" w:rsidRPr="00156BC4">
        <w:rPr>
          <w:rFonts w:cs="Arial"/>
        </w:rPr>
        <w:t xml:space="preserve">continues to take </w:t>
      </w:r>
      <w:r w:rsidR="001779FA">
        <w:rPr>
          <w:rFonts w:cs="Arial"/>
        </w:rPr>
        <w:t>the</w:t>
      </w:r>
      <w:r w:rsidRPr="00156BC4">
        <w:rPr>
          <w:rFonts w:cs="Arial"/>
        </w:rPr>
        <w:t xml:space="preserve"> issues </w:t>
      </w:r>
      <w:r w:rsidR="001779FA">
        <w:rPr>
          <w:rFonts w:cs="Arial"/>
        </w:rPr>
        <w:t xml:space="preserve">raised in 2013/14 </w:t>
      </w:r>
      <w:r w:rsidRPr="00156BC4">
        <w:rPr>
          <w:rFonts w:cs="Arial"/>
        </w:rPr>
        <w:t>very seriously and has responded robust</w:t>
      </w:r>
      <w:r w:rsidR="00156BC4" w:rsidRPr="00156BC4">
        <w:rPr>
          <w:rFonts w:cs="Arial"/>
        </w:rPr>
        <w:t>ly</w:t>
      </w:r>
      <w:r w:rsidR="001B1C70">
        <w:rPr>
          <w:rFonts w:cs="Arial"/>
        </w:rPr>
        <w:t xml:space="preserve"> to make</w:t>
      </w:r>
      <w:r w:rsidR="00156BC4">
        <w:rPr>
          <w:rFonts w:cs="Arial"/>
        </w:rPr>
        <w:t xml:space="preserve"> improvements. In particular, information governance has seen considerable improvement during the past year, as was reported to the Audit and Governance Committee in April 2015</w:t>
      </w:r>
      <w:r w:rsidRPr="00156BC4">
        <w:t>.</w:t>
      </w:r>
    </w:p>
    <w:p w:rsidR="00E90F68" w:rsidRDefault="00E90F68" w:rsidP="00974DED">
      <w:pPr>
        <w:pStyle w:val="Ruthsparagraph"/>
        <w:numPr>
          <w:ilvl w:val="1"/>
          <w:numId w:val="1"/>
        </w:numPr>
        <w:contextualSpacing w:val="0"/>
      </w:pPr>
      <w:r>
        <w:t>The last 12 months have seen continued efforts to achieve significant cost-savings</w:t>
      </w:r>
      <w:r w:rsidR="00156BC4">
        <w:t xml:space="preserve"> and to </w:t>
      </w:r>
      <w:r>
        <w:t>reconfigure the council's services</w:t>
      </w:r>
      <w:r w:rsidR="00156BC4">
        <w:t>. This work</w:t>
      </w:r>
      <w:r>
        <w:t xml:space="preserve"> is on-going and will cont</w:t>
      </w:r>
      <w:r w:rsidR="00156BC4">
        <w:t>inue throughout 2015</w:t>
      </w:r>
      <w:r>
        <w:t>/1</w:t>
      </w:r>
      <w:r w:rsidR="00156BC4">
        <w:t>6</w:t>
      </w:r>
      <w:r>
        <w:t xml:space="preserve"> as the council continues to face the need for further cost savings, service re-organisation and re-structuring and system re-design. In </w:t>
      </w:r>
      <w:r w:rsidRPr="00BB1D0F">
        <w:t xml:space="preserve">particular the benefits arising from the replacement of the old social services </w:t>
      </w:r>
      <w:r w:rsidR="001B1C70">
        <w:t xml:space="preserve">information </w:t>
      </w:r>
      <w:r w:rsidRPr="00BB1D0F">
        <w:t xml:space="preserve">system, as well as the introduction of the </w:t>
      </w:r>
      <w:r w:rsidR="00BB1D0F" w:rsidRPr="00BB1D0F">
        <w:t>Oracle</w:t>
      </w:r>
      <w:r w:rsidRPr="00BB1D0F">
        <w:t xml:space="preserve"> financial </w:t>
      </w:r>
      <w:r w:rsidR="00BB1D0F" w:rsidRPr="00BB1D0F">
        <w:t xml:space="preserve">and human resources/ payroll </w:t>
      </w:r>
      <w:r w:rsidRPr="00BB1D0F">
        <w:t>system</w:t>
      </w:r>
      <w:r w:rsidR="00BB1D0F" w:rsidRPr="00BB1D0F">
        <w:t>s</w:t>
      </w:r>
      <w:r w:rsidRPr="00BB1D0F">
        <w:t xml:space="preserve">, are still to be fully achieved. </w:t>
      </w:r>
      <w:r w:rsidR="00BB1D0F">
        <w:t>All of these</w:t>
      </w:r>
      <w:r w:rsidRPr="00BB1D0F">
        <w:t xml:space="preserve"> suites of systems will in due course support improved</w:t>
      </w:r>
      <w:r>
        <w:t xml:space="preserve"> controls in </w:t>
      </w:r>
      <w:r w:rsidR="00BB1D0F">
        <w:t xml:space="preserve">social care, </w:t>
      </w:r>
      <w:r>
        <w:t>financial control</w:t>
      </w:r>
      <w:r w:rsidR="00BB1D0F">
        <w:t xml:space="preserve">, </w:t>
      </w:r>
      <w:r w:rsidR="003216EF">
        <w:t xml:space="preserve">and </w:t>
      </w:r>
      <w:r w:rsidR="00BB1D0F">
        <w:t>control over the council's establishment,</w:t>
      </w:r>
      <w:r>
        <w:t xml:space="preserve"> but continue to present challenges for the coming year.</w:t>
      </w:r>
    </w:p>
    <w:p w:rsidR="001137E0" w:rsidRDefault="00E90F68" w:rsidP="001137E0">
      <w:pPr>
        <w:pStyle w:val="Ruthsparagraph"/>
        <w:numPr>
          <w:ilvl w:val="1"/>
          <w:numId w:val="1"/>
        </w:numPr>
        <w:contextualSpacing w:val="0"/>
      </w:pPr>
      <w:r>
        <w:t xml:space="preserve">The reduction in the council's workforce </w:t>
      </w:r>
      <w:r w:rsidR="00BB1D0F">
        <w:t xml:space="preserve">and re-structuring of all of the council's services continues, </w:t>
      </w:r>
      <w:r w:rsidR="001B1C70">
        <w:t>and</w:t>
      </w:r>
      <w:r w:rsidR="00BB1D0F">
        <w:t xml:space="preserve"> is absorbing </w:t>
      </w:r>
      <w:r w:rsidR="00BB1D0F" w:rsidRPr="00BB1D0F">
        <w:t>a considerable amount of senior management time</w:t>
      </w:r>
      <w:r>
        <w:t>. Many of</w:t>
      </w:r>
      <w:r w:rsidR="00BB1D0F">
        <w:t xml:space="preserve"> the risks associated with the council's</w:t>
      </w:r>
      <w:r>
        <w:t xml:space="preserve"> services have changed to some degree and their corresponding control frameworks are now being re-designed by new heads of service</w:t>
      </w:r>
      <w:r w:rsidR="001B1C70">
        <w:t xml:space="preserve"> under the new organisational structure</w:t>
      </w:r>
      <w:r>
        <w:t>.</w:t>
      </w:r>
      <w:r w:rsidR="001137E0">
        <w:t xml:space="preserve"> During 2015/16 the Internal Audit Service will work to support management and in particular a number of members of the team will be seconded into the finance teams. It will not therefore undertake work that will support an overall opinion in 2015/16.</w:t>
      </w:r>
    </w:p>
    <w:p w:rsidR="00AB7F56" w:rsidRPr="00017CE8" w:rsidRDefault="00AB7F56" w:rsidP="002C69C9">
      <w:pPr>
        <w:pStyle w:val="Heading1"/>
        <w:numPr>
          <w:ilvl w:val="0"/>
          <w:numId w:val="1"/>
        </w:numPr>
        <w:spacing w:after="120"/>
        <w:rPr>
          <w:rFonts w:ascii="Arial" w:hAnsi="Arial" w:cs="Arial"/>
        </w:rPr>
      </w:pPr>
      <w:r w:rsidRPr="00017CE8">
        <w:rPr>
          <w:rFonts w:ascii="Arial" w:hAnsi="Arial" w:cs="Arial"/>
        </w:rPr>
        <w:t>Implications for the annual governance statement</w:t>
      </w:r>
    </w:p>
    <w:p w:rsidR="001A7668" w:rsidRPr="003574E9" w:rsidRDefault="00A02FDE" w:rsidP="00A54D6E">
      <w:pPr>
        <w:numPr>
          <w:ilvl w:val="1"/>
          <w:numId w:val="1"/>
        </w:numPr>
        <w:spacing w:before="120" w:after="120"/>
      </w:pPr>
      <w:r w:rsidRPr="003D27CB">
        <w:t xml:space="preserve">In making its annual governance statement </w:t>
      </w:r>
      <w:r>
        <w:t xml:space="preserve">the </w:t>
      </w:r>
      <w:r w:rsidR="00A54D6E">
        <w:t xml:space="preserve">council </w:t>
      </w:r>
      <w:r w:rsidR="009D3F19">
        <w:t>is required to</w:t>
      </w:r>
      <w:r w:rsidR="001B1C70">
        <w:t xml:space="preserve"> consider</w:t>
      </w:r>
      <w:r w:rsidR="00A54D6E" w:rsidRPr="003D27CB">
        <w:t xml:space="preserve"> the </w:t>
      </w:r>
      <w:r w:rsidR="001A7668">
        <w:t>Head of</w:t>
      </w:r>
      <w:r w:rsidR="00A54D6E">
        <w:t xml:space="preserve"> I</w:t>
      </w:r>
      <w:r w:rsidR="00A54D6E" w:rsidRPr="003D27CB">
        <w:t xml:space="preserve">nternal </w:t>
      </w:r>
      <w:r w:rsidR="00A54D6E">
        <w:t>A</w:t>
      </w:r>
      <w:r w:rsidR="00A54D6E" w:rsidRPr="003D27CB">
        <w:t xml:space="preserve">udit's </w:t>
      </w:r>
      <w:r w:rsidR="001B1C70">
        <w:t>report</w:t>
      </w:r>
      <w:r w:rsidR="00A54D6E" w:rsidRPr="003D27CB">
        <w:t xml:space="preserve"> in relation to internal control, risk management and corporate governance. </w:t>
      </w:r>
      <w:r>
        <w:t xml:space="preserve">The </w:t>
      </w:r>
      <w:r w:rsidR="000E10C8">
        <w:t xml:space="preserve">council </w:t>
      </w:r>
      <w:r w:rsidR="00A54D6E">
        <w:t xml:space="preserve">should </w:t>
      </w:r>
      <w:r>
        <w:t xml:space="preserve">therefore </w:t>
      </w:r>
      <w:r w:rsidR="000E10C8">
        <w:t>ref</w:t>
      </w:r>
      <w:r w:rsidR="004F75BF">
        <w:t>lect</w:t>
      </w:r>
      <w:r w:rsidR="00A54D6E">
        <w:t xml:space="preserve"> </w:t>
      </w:r>
      <w:r>
        <w:t>the challenges it</w:t>
      </w:r>
      <w:r w:rsidR="00E1341E">
        <w:t xml:space="preserve"> faced during 2014/15 and earlier</w:t>
      </w:r>
      <w:r>
        <w:t xml:space="preserve">, </w:t>
      </w:r>
      <w:r w:rsidR="0093147F">
        <w:t>the challenges it still faces</w:t>
      </w:r>
      <w:r w:rsidR="00E60758">
        <w:t xml:space="preserve"> in implementing a new </w:t>
      </w:r>
      <w:r w:rsidR="00E60758" w:rsidRPr="003574E9">
        <w:t>organisational structure, risk and controls framework</w:t>
      </w:r>
      <w:r w:rsidR="0093147F" w:rsidRPr="003574E9">
        <w:t xml:space="preserve">, </w:t>
      </w:r>
      <w:r w:rsidRPr="003574E9">
        <w:t xml:space="preserve">and </w:t>
      </w:r>
      <w:r w:rsidR="00E1341E" w:rsidRPr="003574E9">
        <w:t>the strenuous efforts it has made to address the</w:t>
      </w:r>
      <w:r w:rsidR="0093147F" w:rsidRPr="003574E9">
        <w:t>se</w:t>
      </w:r>
      <w:r w:rsidR="001D3962" w:rsidRPr="003574E9">
        <w:t>.</w:t>
      </w:r>
    </w:p>
    <w:p w:rsidR="006935A4" w:rsidRPr="003574E9" w:rsidRDefault="001A7668" w:rsidP="00A54D6E">
      <w:pPr>
        <w:numPr>
          <w:ilvl w:val="1"/>
          <w:numId w:val="1"/>
        </w:numPr>
        <w:spacing w:before="120" w:after="120"/>
      </w:pPr>
      <w:r w:rsidRPr="003574E9">
        <w:t xml:space="preserve">It should also reflect the </w:t>
      </w:r>
      <w:r w:rsidR="001137E0">
        <w:t xml:space="preserve">intention that the Internal Audit Service will provide support to management during 2015/16 rather than assurance over the </w:t>
      </w:r>
      <w:r w:rsidR="001137E0" w:rsidRPr="00F450D3">
        <w:t>adequacy and effectiveness of the council's framework of governance, risk management and control</w:t>
      </w:r>
      <w:r w:rsidR="00E17E88" w:rsidRPr="003574E9">
        <w:t>.</w:t>
      </w:r>
    </w:p>
    <w:p w:rsidR="001A7668" w:rsidRPr="001664FC" w:rsidRDefault="001A7668" w:rsidP="001A7668">
      <w:pPr>
        <w:pStyle w:val="Heading1"/>
        <w:numPr>
          <w:ilvl w:val="0"/>
          <w:numId w:val="1"/>
        </w:numPr>
        <w:spacing w:after="120"/>
        <w:rPr>
          <w:rFonts w:ascii="Arial" w:hAnsi="Arial" w:cs="Arial"/>
        </w:rPr>
      </w:pPr>
      <w:r w:rsidRPr="001664FC">
        <w:rPr>
          <w:rFonts w:ascii="Arial" w:hAnsi="Arial" w:cs="Arial"/>
        </w:rPr>
        <w:t>Internal audit quality assurance and improvement</w:t>
      </w:r>
    </w:p>
    <w:p w:rsidR="001A7668" w:rsidRPr="00985559" w:rsidRDefault="001A7668" w:rsidP="001A7668">
      <w:pPr>
        <w:numPr>
          <w:ilvl w:val="1"/>
          <w:numId w:val="1"/>
        </w:numPr>
        <w:spacing w:before="120" w:after="120"/>
        <w:rPr>
          <w:rFonts w:cs="Arial"/>
        </w:rPr>
      </w:pPr>
      <w:r w:rsidRPr="00985559">
        <w:rPr>
          <w:rFonts w:cs="Arial"/>
        </w:rPr>
        <w:t xml:space="preserve">In order to place reliance on the work of the Internal Audit Service and in conformance with the Public Sector Internal Audit Standards, it is important that the </w:t>
      </w:r>
      <w:r>
        <w:rPr>
          <w:rFonts w:cs="Arial"/>
        </w:rPr>
        <w:t>council</w:t>
      </w:r>
      <w:r w:rsidRPr="00985559">
        <w:rPr>
          <w:rFonts w:cs="Arial"/>
        </w:rPr>
        <w:t xml:space="preserve"> receives assurance regarding its quality</w:t>
      </w:r>
      <w:r>
        <w:rPr>
          <w:rFonts w:cs="Arial"/>
        </w:rPr>
        <w:t>.</w:t>
      </w:r>
      <w:r w:rsidRPr="00985559">
        <w:rPr>
          <w:rFonts w:cs="Arial"/>
        </w:rPr>
        <w:t xml:space="preserve"> The Internal Audit Service therefore undertook a self-assessment in 2012 against the professional standards in place during at the time (the CIPFA Code of Practice for Internal Audit in Local Government in the United Kingdom, 2006). This self-assessment was verified externally by the Council's external auditor, and the Audit Commission's findings were reported to the Audit and Governance Committee in September 2012.</w:t>
      </w:r>
    </w:p>
    <w:p w:rsidR="001A7668" w:rsidRPr="00AF15FA" w:rsidRDefault="001A7668" w:rsidP="001A7668">
      <w:pPr>
        <w:numPr>
          <w:ilvl w:val="1"/>
          <w:numId w:val="1"/>
        </w:numPr>
        <w:spacing w:before="120" w:after="120"/>
        <w:rPr>
          <w:rFonts w:cs="Arial"/>
        </w:rPr>
      </w:pPr>
      <w:r w:rsidRPr="00AF15FA">
        <w:rPr>
          <w:rFonts w:cs="Arial"/>
        </w:rPr>
        <w:lastRenderedPageBreak/>
        <w:t xml:space="preserve">The Audit Commission concluded that: </w:t>
      </w:r>
    </w:p>
    <w:p w:rsidR="001A7668" w:rsidRPr="00AF15FA" w:rsidRDefault="001A7668" w:rsidP="001A7668">
      <w:pPr>
        <w:spacing w:before="120" w:after="120"/>
        <w:ind w:left="851"/>
        <w:rPr>
          <w:rFonts w:cs="Arial"/>
        </w:rPr>
      </w:pPr>
      <w:r w:rsidRPr="00AF15FA">
        <w:rPr>
          <w:rFonts w:cs="Arial"/>
        </w:rPr>
        <w:t xml:space="preserve">'the Council’s Internal Audit function meets each of the eleven standards for Internal Audit set out in the CIPFA Code of Practice for Internal Audit in Local Government. </w:t>
      </w:r>
    </w:p>
    <w:p w:rsidR="001A7668" w:rsidRPr="00AF15FA" w:rsidRDefault="001A7668" w:rsidP="001A7668">
      <w:pPr>
        <w:spacing w:before="120" w:after="120"/>
        <w:ind w:left="851"/>
        <w:rPr>
          <w:rFonts w:cs="Arial"/>
        </w:rPr>
      </w:pPr>
      <w:r w:rsidRPr="00AF15FA">
        <w:rPr>
          <w:rFonts w:cs="Arial"/>
        </w:rPr>
        <w:t>'Our review has also concluded that the Internal Audit function demonstrates many of the characteristics of best practice as set out in the CIPFA Statement on the role of the Head of Internal Audit and The Excellent Internal Auditor. In particular, the Internal Audit work programme includes proactive fraud awareness work, thematic and corporate reviews to promote good governance across the organisation, and the annual plan is based on a comprehensive risk assessment process.'</w:t>
      </w:r>
    </w:p>
    <w:p w:rsidR="001A7668" w:rsidRDefault="001A7668" w:rsidP="001A7668">
      <w:pPr>
        <w:numPr>
          <w:ilvl w:val="1"/>
          <w:numId w:val="1"/>
        </w:numPr>
        <w:spacing w:before="120" w:after="120"/>
      </w:pPr>
      <w:r w:rsidRPr="00AF15FA">
        <w:rPr>
          <w:rFonts w:cs="Arial"/>
        </w:rPr>
        <w:t xml:space="preserve">Like the rest of </w:t>
      </w:r>
      <w:r w:rsidRPr="00985559">
        <w:rPr>
          <w:rFonts w:cs="Arial"/>
        </w:rPr>
        <w:t>Lancashire County Council</w:t>
      </w:r>
      <w:r w:rsidRPr="00AF15FA">
        <w:rPr>
          <w:rFonts w:cs="Arial"/>
        </w:rPr>
        <w:t xml:space="preserve">, the Internal Audit Service will be subject to further restructuring, and a </w:t>
      </w:r>
      <w:r>
        <w:rPr>
          <w:rFonts w:cs="Arial"/>
        </w:rPr>
        <w:t xml:space="preserve">full externally validated </w:t>
      </w:r>
      <w:r w:rsidRPr="00AF15FA">
        <w:rPr>
          <w:rFonts w:cs="Arial"/>
        </w:rPr>
        <w:t>reassessment against the Public Sector Internal Audit Standards published in 2013 will be necessary in due course</w:t>
      </w:r>
      <w:r>
        <w:rPr>
          <w:rFonts w:cs="Arial"/>
        </w:rPr>
        <w:t>.</w:t>
      </w:r>
    </w:p>
    <w:bookmarkEnd w:id="3"/>
    <w:bookmarkEnd w:id="4"/>
    <w:p w:rsidR="006C4A53" w:rsidRDefault="006C4A53" w:rsidP="00BE6EB6">
      <w:pPr>
        <w:spacing w:before="120" w:after="120"/>
      </w:pPr>
    </w:p>
    <w:p w:rsidR="00BE6EB6" w:rsidRDefault="00BE6EB6" w:rsidP="00BE6EB6">
      <w:pPr>
        <w:spacing w:before="120" w:after="120"/>
        <w:sectPr w:rsidR="00BE6EB6" w:rsidSect="00C630F6">
          <w:headerReference w:type="default" r:id="rId18"/>
          <w:footerReference w:type="default" r:id="rId19"/>
          <w:pgSz w:w="11907" w:h="16840" w:code="9"/>
          <w:pgMar w:top="1797" w:right="1134" w:bottom="1134" w:left="1418" w:header="709" w:footer="596" w:gutter="0"/>
          <w:pgNumType w:start="1"/>
          <w:cols w:space="708"/>
          <w:docGrid w:linePitch="360"/>
        </w:sectPr>
      </w:pPr>
    </w:p>
    <w:p w:rsidR="00C146BB" w:rsidRDefault="00455BD6" w:rsidP="008F2360">
      <w:pPr>
        <w:pStyle w:val="BodyText"/>
        <w:numPr>
          <w:ilvl w:val="0"/>
          <w:numId w:val="2"/>
        </w:numPr>
        <w:spacing w:before="240" w:after="120"/>
        <w:rPr>
          <w:b/>
          <w:sz w:val="28"/>
          <w:szCs w:val="28"/>
        </w:rPr>
      </w:pPr>
      <w:r>
        <w:rPr>
          <w:b/>
          <w:sz w:val="28"/>
          <w:szCs w:val="28"/>
        </w:rPr>
        <w:lastRenderedPageBreak/>
        <w:t>Summary</w:t>
      </w:r>
      <w:r w:rsidR="00F852D1" w:rsidRPr="00CB349A">
        <w:rPr>
          <w:b/>
          <w:sz w:val="28"/>
          <w:szCs w:val="28"/>
        </w:rPr>
        <w:t xml:space="preserve"> of internal </w:t>
      </w:r>
      <w:r w:rsidR="009C1B78" w:rsidRPr="00CB349A">
        <w:rPr>
          <w:b/>
          <w:sz w:val="28"/>
          <w:szCs w:val="28"/>
        </w:rPr>
        <w:t>audit assurance assignments 201</w:t>
      </w:r>
      <w:r w:rsidR="004F10AA">
        <w:rPr>
          <w:b/>
          <w:sz w:val="28"/>
          <w:szCs w:val="28"/>
        </w:rPr>
        <w:t>4</w:t>
      </w:r>
      <w:r w:rsidR="00B1216C" w:rsidRPr="00CB349A">
        <w:rPr>
          <w:b/>
          <w:sz w:val="28"/>
          <w:szCs w:val="28"/>
        </w:rPr>
        <w:t>/1</w:t>
      </w:r>
      <w:r w:rsidR="004F10AA">
        <w:rPr>
          <w:b/>
          <w:sz w:val="28"/>
          <w:szCs w:val="28"/>
        </w:rPr>
        <w:t>5</w:t>
      </w:r>
    </w:p>
    <w:p w:rsidR="001C44EE" w:rsidRDefault="001C44EE" w:rsidP="002B1AA4">
      <w:pPr>
        <w:pStyle w:val="BodyText"/>
        <w:numPr>
          <w:ilvl w:val="1"/>
          <w:numId w:val="2"/>
        </w:numPr>
        <w:spacing w:before="120" w:after="120"/>
      </w:pPr>
      <w:r w:rsidRPr="001C44EE">
        <w:t>The work</w:t>
      </w:r>
      <w:r>
        <w:t xml:space="preserve"> completed during the year is set out in the table below. </w:t>
      </w:r>
      <w:r w:rsidR="0072728A" w:rsidRPr="00D32A74">
        <w:t xml:space="preserve">Each area </w:t>
      </w:r>
      <w:r w:rsidR="0072728A">
        <w:t xml:space="preserve">audited </w:t>
      </w:r>
      <w:r w:rsidR="0072728A" w:rsidRPr="00D32A74">
        <w:t>has been given a</w:t>
      </w:r>
      <w:r w:rsidR="007B16DA">
        <w:t>n overall</w:t>
      </w:r>
      <w:r w:rsidR="0072728A" w:rsidRPr="00D32A74">
        <w:t xml:space="preserve"> </w:t>
      </w:r>
      <w:r w:rsidR="0072728A">
        <w:t xml:space="preserve">relative </w:t>
      </w:r>
      <w:r w:rsidR="007B16DA">
        <w:t xml:space="preserve">risk </w:t>
      </w:r>
      <w:r w:rsidR="0072728A" w:rsidRPr="00D32A74">
        <w:t>weighting to indicate the degree of risk associated with it</w:t>
      </w:r>
      <w:r w:rsidR="007706A7">
        <w:t>, although th</w:t>
      </w:r>
      <w:r w:rsidR="007B16DA">
        <w:t>is is a subjective assessment.</w:t>
      </w:r>
    </w:p>
    <w:tbl>
      <w:tblPr>
        <w:tblW w:w="14034" w:type="dxa"/>
        <w:tblInd w:w="108" w:type="dxa"/>
        <w:tblLayout w:type="fixed"/>
        <w:tblLook w:val="04A0" w:firstRow="1" w:lastRow="0" w:firstColumn="1" w:lastColumn="0" w:noHBand="0" w:noVBand="1"/>
      </w:tblPr>
      <w:tblGrid>
        <w:gridCol w:w="4395"/>
        <w:gridCol w:w="2835"/>
        <w:gridCol w:w="2409"/>
        <w:gridCol w:w="709"/>
        <w:gridCol w:w="1276"/>
        <w:gridCol w:w="2410"/>
      </w:tblGrid>
      <w:tr w:rsidR="00974DED" w:rsidRPr="00B83183" w:rsidTr="00275CF2">
        <w:trPr>
          <w:tblHeader/>
        </w:trPr>
        <w:tc>
          <w:tcPr>
            <w:tcW w:w="4395" w:type="dxa"/>
            <w:tcBorders>
              <w:top w:val="nil"/>
              <w:left w:val="nil"/>
              <w:bottom w:val="nil"/>
              <w:right w:val="nil"/>
            </w:tcBorders>
            <w:shd w:val="clear" w:color="auto" w:fill="D9D9D9" w:themeFill="background1" w:themeFillShade="D9"/>
            <w:hideMark/>
          </w:tcPr>
          <w:p w:rsidR="00974DED" w:rsidRPr="00B83183" w:rsidRDefault="00974DED" w:rsidP="00974DED">
            <w:pPr>
              <w:spacing w:before="40" w:after="40"/>
              <w:rPr>
                <w:rFonts w:cs="Arial"/>
                <w:b/>
                <w:bCs/>
              </w:rPr>
            </w:pPr>
            <w:r w:rsidRPr="00B83183">
              <w:rPr>
                <w:rFonts w:cs="Arial"/>
                <w:b/>
                <w:bCs/>
                <w:sz w:val="22"/>
                <w:szCs w:val="22"/>
              </w:rPr>
              <w:t>Control areas and audit reviews</w:t>
            </w:r>
          </w:p>
        </w:tc>
        <w:tc>
          <w:tcPr>
            <w:tcW w:w="2835" w:type="dxa"/>
            <w:tcBorders>
              <w:top w:val="nil"/>
              <w:left w:val="nil"/>
              <w:bottom w:val="nil"/>
              <w:right w:val="nil"/>
            </w:tcBorders>
            <w:shd w:val="clear" w:color="auto" w:fill="D9D9D9" w:themeFill="background1" w:themeFillShade="D9"/>
            <w:hideMark/>
          </w:tcPr>
          <w:p w:rsidR="00974DED" w:rsidRPr="00B83183" w:rsidRDefault="00974DED" w:rsidP="00974DED">
            <w:pPr>
              <w:spacing w:before="40" w:after="40"/>
              <w:rPr>
                <w:rFonts w:cs="Arial"/>
                <w:b/>
                <w:bCs/>
              </w:rPr>
            </w:pPr>
            <w:r w:rsidRPr="00B83183">
              <w:rPr>
                <w:rFonts w:cs="Arial"/>
                <w:b/>
                <w:bCs/>
                <w:sz w:val="22"/>
                <w:szCs w:val="22"/>
              </w:rPr>
              <w:t>Audit nature and scope</w:t>
            </w:r>
          </w:p>
        </w:tc>
        <w:tc>
          <w:tcPr>
            <w:tcW w:w="2409" w:type="dxa"/>
            <w:tcBorders>
              <w:top w:val="nil"/>
              <w:left w:val="nil"/>
              <w:bottom w:val="nil"/>
              <w:right w:val="nil"/>
            </w:tcBorders>
            <w:shd w:val="clear" w:color="auto" w:fill="D9D9D9" w:themeFill="background1" w:themeFillShade="D9"/>
          </w:tcPr>
          <w:p w:rsidR="00974DED" w:rsidRPr="00B83183" w:rsidRDefault="00974DED" w:rsidP="00974DED">
            <w:pPr>
              <w:spacing w:before="40" w:after="40"/>
              <w:rPr>
                <w:rFonts w:cs="Arial"/>
                <w:b/>
                <w:bCs/>
              </w:rPr>
            </w:pPr>
            <w:r w:rsidRPr="00B83183">
              <w:rPr>
                <w:rFonts w:cs="Arial"/>
                <w:b/>
                <w:bCs/>
                <w:sz w:val="22"/>
                <w:szCs w:val="22"/>
              </w:rPr>
              <w:t>Risk weighting</w:t>
            </w:r>
          </w:p>
        </w:tc>
        <w:tc>
          <w:tcPr>
            <w:tcW w:w="709" w:type="dxa"/>
            <w:tcBorders>
              <w:top w:val="nil"/>
              <w:left w:val="nil"/>
              <w:bottom w:val="nil"/>
              <w:right w:val="nil"/>
            </w:tcBorders>
            <w:shd w:val="clear" w:color="auto" w:fill="D9D9D9" w:themeFill="background1" w:themeFillShade="D9"/>
          </w:tcPr>
          <w:p w:rsidR="00974DED" w:rsidRPr="00B83183" w:rsidRDefault="00974DED" w:rsidP="00974DED">
            <w:pPr>
              <w:spacing w:before="40" w:after="40"/>
              <w:rPr>
                <w:rFonts w:cs="Arial"/>
                <w:b/>
                <w:bCs/>
              </w:rPr>
            </w:pPr>
            <w:r w:rsidRPr="00B83183">
              <w:rPr>
                <w:rFonts w:cs="Arial"/>
                <w:b/>
                <w:bCs/>
                <w:sz w:val="22"/>
                <w:szCs w:val="22"/>
              </w:rPr>
              <w:t>Key area</w:t>
            </w:r>
          </w:p>
        </w:tc>
        <w:tc>
          <w:tcPr>
            <w:tcW w:w="1276" w:type="dxa"/>
            <w:tcBorders>
              <w:top w:val="nil"/>
              <w:left w:val="nil"/>
              <w:bottom w:val="nil"/>
              <w:right w:val="nil"/>
            </w:tcBorders>
            <w:shd w:val="clear" w:color="auto" w:fill="D9D9D9" w:themeFill="background1" w:themeFillShade="D9"/>
          </w:tcPr>
          <w:p w:rsidR="00974DED" w:rsidRPr="00B83183" w:rsidRDefault="00275CF2" w:rsidP="00275CF2">
            <w:pPr>
              <w:spacing w:before="40" w:after="40"/>
              <w:rPr>
                <w:rFonts w:cs="Arial"/>
                <w:b/>
                <w:bCs/>
              </w:rPr>
            </w:pPr>
            <w:r>
              <w:rPr>
                <w:rFonts w:cs="Arial"/>
                <w:b/>
                <w:bCs/>
                <w:sz w:val="22"/>
                <w:szCs w:val="22"/>
              </w:rPr>
              <w:t xml:space="preserve">Audit </w:t>
            </w:r>
            <w:r w:rsidR="00974DED" w:rsidRPr="00B83183">
              <w:rPr>
                <w:rFonts w:cs="Arial"/>
                <w:b/>
                <w:bCs/>
                <w:sz w:val="22"/>
                <w:szCs w:val="22"/>
              </w:rPr>
              <w:t>complete</w:t>
            </w:r>
          </w:p>
        </w:tc>
        <w:tc>
          <w:tcPr>
            <w:tcW w:w="2410" w:type="dxa"/>
            <w:tcBorders>
              <w:top w:val="nil"/>
              <w:left w:val="nil"/>
              <w:bottom w:val="nil"/>
              <w:right w:val="nil"/>
            </w:tcBorders>
            <w:shd w:val="clear" w:color="auto" w:fill="D9D9D9" w:themeFill="background1" w:themeFillShade="D9"/>
          </w:tcPr>
          <w:p w:rsidR="00974DED" w:rsidRPr="00B83183" w:rsidRDefault="00974DED" w:rsidP="00B74B10">
            <w:pPr>
              <w:spacing w:before="40" w:after="40"/>
              <w:rPr>
                <w:rFonts w:cs="Arial"/>
                <w:b/>
                <w:bCs/>
              </w:rPr>
            </w:pPr>
            <w:r w:rsidRPr="00B83183">
              <w:rPr>
                <w:rFonts w:cs="Arial"/>
                <w:b/>
                <w:bCs/>
                <w:sz w:val="22"/>
                <w:szCs w:val="22"/>
              </w:rPr>
              <w:t>Assurance</w:t>
            </w:r>
            <w:r w:rsidR="00B74B10">
              <w:rPr>
                <w:rFonts w:cs="Arial"/>
                <w:b/>
                <w:bCs/>
                <w:sz w:val="22"/>
                <w:szCs w:val="22"/>
              </w:rPr>
              <w:t xml:space="preserve"> – over controls, or actions</w:t>
            </w:r>
          </w:p>
        </w:tc>
      </w:tr>
      <w:tr w:rsidR="00974DED" w:rsidRPr="00B83183" w:rsidTr="00275CF2">
        <w:tc>
          <w:tcPr>
            <w:tcW w:w="4395" w:type="dxa"/>
            <w:tcBorders>
              <w:top w:val="nil"/>
              <w:left w:val="nil"/>
              <w:right w:val="nil"/>
            </w:tcBorders>
            <w:shd w:val="clear" w:color="000000" w:fill="F2F2F2"/>
            <w:hideMark/>
          </w:tcPr>
          <w:p w:rsidR="00974DED" w:rsidRPr="00B83183" w:rsidRDefault="00974DED" w:rsidP="00D06581">
            <w:pPr>
              <w:rPr>
                <w:rFonts w:cs="Arial"/>
              </w:rPr>
            </w:pPr>
            <w:r w:rsidRPr="00B83183">
              <w:rPr>
                <w:rFonts w:cs="Arial"/>
                <w:b/>
                <w:bCs/>
                <w:sz w:val="22"/>
                <w:szCs w:val="22"/>
              </w:rPr>
              <w:t>Corporate controls</w:t>
            </w:r>
          </w:p>
        </w:tc>
        <w:tc>
          <w:tcPr>
            <w:tcW w:w="2835" w:type="dxa"/>
            <w:tcBorders>
              <w:top w:val="nil"/>
              <w:left w:val="nil"/>
              <w:right w:val="nil"/>
            </w:tcBorders>
            <w:shd w:val="clear" w:color="000000" w:fill="F2F2F2"/>
            <w:hideMark/>
          </w:tcPr>
          <w:p w:rsidR="00974DED" w:rsidRPr="00B83183" w:rsidRDefault="00974DED" w:rsidP="00D06581">
            <w:pPr>
              <w:rPr>
                <w:rFonts w:cs="Arial"/>
              </w:rPr>
            </w:pPr>
            <w:r w:rsidRPr="00B83183">
              <w:rPr>
                <w:rFonts w:cs="Arial"/>
                <w:sz w:val="22"/>
                <w:szCs w:val="22"/>
              </w:rPr>
              <w:t> </w:t>
            </w:r>
          </w:p>
        </w:tc>
        <w:tc>
          <w:tcPr>
            <w:tcW w:w="2409" w:type="dxa"/>
            <w:tcBorders>
              <w:top w:val="nil"/>
              <w:left w:val="nil"/>
              <w:right w:val="nil"/>
            </w:tcBorders>
            <w:shd w:val="clear" w:color="000000" w:fill="F2F2F2"/>
          </w:tcPr>
          <w:p w:rsidR="00974DED" w:rsidRPr="00B83183" w:rsidRDefault="00974DED" w:rsidP="00D06581">
            <w:pPr>
              <w:rPr>
                <w:rFonts w:cs="Arial"/>
              </w:rPr>
            </w:pPr>
          </w:p>
        </w:tc>
        <w:tc>
          <w:tcPr>
            <w:tcW w:w="709" w:type="dxa"/>
            <w:tcBorders>
              <w:top w:val="nil"/>
              <w:left w:val="nil"/>
              <w:right w:val="nil"/>
            </w:tcBorders>
            <w:shd w:val="clear" w:color="000000" w:fill="F2F2F2"/>
          </w:tcPr>
          <w:p w:rsidR="00974DED" w:rsidRPr="00B83183" w:rsidRDefault="00974DED" w:rsidP="00D06581">
            <w:pPr>
              <w:jc w:val="center"/>
              <w:rPr>
                <w:rFonts w:cs="Arial"/>
              </w:rPr>
            </w:pPr>
          </w:p>
        </w:tc>
        <w:tc>
          <w:tcPr>
            <w:tcW w:w="1276" w:type="dxa"/>
            <w:tcBorders>
              <w:top w:val="nil"/>
              <w:left w:val="nil"/>
              <w:right w:val="nil"/>
            </w:tcBorders>
            <w:shd w:val="clear" w:color="000000" w:fill="F2F2F2"/>
          </w:tcPr>
          <w:p w:rsidR="00974DED" w:rsidRPr="00B83183" w:rsidRDefault="00974DED" w:rsidP="00D06581">
            <w:pPr>
              <w:jc w:val="center"/>
              <w:rPr>
                <w:rFonts w:cs="Arial"/>
              </w:rPr>
            </w:pPr>
          </w:p>
        </w:tc>
        <w:tc>
          <w:tcPr>
            <w:tcW w:w="2410" w:type="dxa"/>
            <w:tcBorders>
              <w:top w:val="nil"/>
              <w:left w:val="nil"/>
              <w:right w:val="nil"/>
            </w:tcBorders>
            <w:shd w:val="clear" w:color="000000" w:fill="F2F2F2"/>
          </w:tcPr>
          <w:p w:rsidR="00974DED" w:rsidRPr="00B83183" w:rsidRDefault="00974DED" w:rsidP="00D06581">
            <w:pPr>
              <w:rPr>
                <w:rFonts w:cs="Arial"/>
              </w:rPr>
            </w:pPr>
          </w:p>
        </w:tc>
      </w:tr>
      <w:tr w:rsidR="00974DED" w:rsidRPr="00B83183" w:rsidTr="00275CF2">
        <w:trPr>
          <w:trHeight w:val="197"/>
        </w:trPr>
        <w:tc>
          <w:tcPr>
            <w:tcW w:w="7230" w:type="dxa"/>
            <w:gridSpan w:val="2"/>
            <w:tcBorders>
              <w:top w:val="nil"/>
              <w:left w:val="nil"/>
              <w:bottom w:val="nil"/>
              <w:right w:val="nil"/>
            </w:tcBorders>
            <w:shd w:val="clear" w:color="auto" w:fill="auto"/>
          </w:tcPr>
          <w:p w:rsidR="00974DED" w:rsidRPr="00B83183" w:rsidRDefault="00974DED" w:rsidP="00974DED">
            <w:pPr>
              <w:spacing w:before="40" w:after="40"/>
              <w:rPr>
                <w:rFonts w:cs="Arial"/>
              </w:rPr>
            </w:pPr>
            <w:r w:rsidRPr="00B83183">
              <w:rPr>
                <w:rFonts w:cs="Arial"/>
                <w:b/>
                <w:bCs/>
                <w:sz w:val="22"/>
                <w:szCs w:val="22"/>
              </w:rPr>
              <w:t>Working in strategic partnership</w:t>
            </w:r>
          </w:p>
        </w:tc>
        <w:tc>
          <w:tcPr>
            <w:tcW w:w="2409" w:type="dxa"/>
            <w:tcBorders>
              <w:top w:val="nil"/>
              <w:left w:val="nil"/>
              <w:bottom w:val="nil"/>
              <w:right w:val="nil"/>
            </w:tcBorders>
          </w:tcPr>
          <w:p w:rsidR="00974DED" w:rsidRPr="00B83183" w:rsidRDefault="00974DED" w:rsidP="00974DED">
            <w:pPr>
              <w:spacing w:before="40" w:after="40"/>
              <w:rPr>
                <w:rFonts w:cs="Arial"/>
              </w:rPr>
            </w:pP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p>
        </w:tc>
        <w:tc>
          <w:tcPr>
            <w:tcW w:w="2410" w:type="dxa"/>
            <w:tcBorders>
              <w:top w:val="nil"/>
              <w:left w:val="nil"/>
              <w:bottom w:val="nil"/>
              <w:right w:val="nil"/>
            </w:tcBorders>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Funds flow between LCC and BTLS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High</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B74B10">
            <w:pPr>
              <w:spacing w:before="40" w:after="40"/>
              <w:rPr>
                <w:rFonts w:cs="Arial"/>
              </w:rPr>
            </w:pPr>
            <w:r>
              <w:rPr>
                <w:rFonts w:cs="Arial"/>
                <w:sz w:val="22"/>
                <w:szCs w:val="22"/>
              </w:rPr>
              <w:t>Substantial – action</w:t>
            </w:r>
            <w:r w:rsidR="00B74B10">
              <w:rPr>
                <w:rFonts w:cs="Arial"/>
                <w:sz w:val="22"/>
                <w:szCs w:val="22"/>
              </w:rPr>
              <w:t>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Performance data quality and monitoring BTLS by LCC</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High</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B74B10">
            <w:pPr>
              <w:spacing w:before="40" w:after="40"/>
              <w:rPr>
                <w:rFonts w:cs="Arial"/>
              </w:rPr>
            </w:pPr>
            <w:r w:rsidRPr="00B83183">
              <w:rPr>
                <w:rFonts w:cs="Arial"/>
                <w:sz w:val="22"/>
                <w:szCs w:val="22"/>
              </w:rPr>
              <w:t xml:space="preserve">Substantial </w:t>
            </w:r>
            <w:r>
              <w:rPr>
                <w:rFonts w:cs="Arial"/>
                <w:sz w:val="22"/>
                <w:szCs w:val="22"/>
              </w:rPr>
              <w:t>–</w:t>
            </w:r>
            <w:r w:rsidR="00B74B10">
              <w:rPr>
                <w:rFonts w:cs="Arial"/>
                <w:sz w:val="22"/>
                <w:szCs w:val="22"/>
              </w:rPr>
              <w:t xml:space="preserve"> actions</w:t>
            </w:r>
          </w:p>
        </w:tc>
      </w:tr>
      <w:tr w:rsidR="00974DED" w:rsidRPr="00B83183" w:rsidTr="00275CF2">
        <w:tc>
          <w:tcPr>
            <w:tcW w:w="4395" w:type="dxa"/>
            <w:tcBorders>
              <w:top w:val="nil"/>
              <w:left w:val="nil"/>
              <w:bottom w:val="nil"/>
              <w:right w:val="nil"/>
            </w:tcBorders>
            <w:shd w:val="clear" w:color="auto" w:fill="auto"/>
          </w:tcPr>
          <w:p w:rsidR="00974DED" w:rsidRPr="00B83183" w:rsidRDefault="00974DED" w:rsidP="00974DED">
            <w:pPr>
              <w:spacing w:before="40" w:after="40"/>
              <w:rPr>
                <w:rFonts w:cs="Arial"/>
                <w:b/>
              </w:rPr>
            </w:pPr>
            <w:r w:rsidRPr="00B83183">
              <w:rPr>
                <w:rFonts w:cs="Arial"/>
                <w:b/>
                <w:sz w:val="22"/>
                <w:szCs w:val="22"/>
              </w:rPr>
              <w:t>Corporate governance</w:t>
            </w:r>
          </w:p>
        </w:tc>
        <w:tc>
          <w:tcPr>
            <w:tcW w:w="2835" w:type="dxa"/>
            <w:tcBorders>
              <w:top w:val="nil"/>
              <w:left w:val="nil"/>
              <w:bottom w:val="nil"/>
              <w:right w:val="nil"/>
            </w:tcBorders>
            <w:shd w:val="clear" w:color="auto" w:fill="auto"/>
          </w:tcPr>
          <w:p w:rsidR="00974DED" w:rsidRPr="00B83183" w:rsidRDefault="00974DED" w:rsidP="00974DED">
            <w:pPr>
              <w:spacing w:before="40" w:after="40"/>
              <w:rPr>
                <w:rFonts w:cs="Arial"/>
              </w:rPr>
            </w:pPr>
          </w:p>
        </w:tc>
        <w:tc>
          <w:tcPr>
            <w:tcW w:w="2409" w:type="dxa"/>
            <w:tcBorders>
              <w:top w:val="nil"/>
              <w:left w:val="nil"/>
              <w:bottom w:val="nil"/>
              <w:right w:val="nil"/>
            </w:tcBorders>
          </w:tcPr>
          <w:p w:rsidR="00974DED" w:rsidRPr="00B83183" w:rsidRDefault="00974DED" w:rsidP="00974DED">
            <w:pPr>
              <w:spacing w:before="40" w:after="40"/>
              <w:rPr>
                <w:rFonts w:cs="Arial"/>
              </w:rPr>
            </w:pP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p>
        </w:tc>
        <w:tc>
          <w:tcPr>
            <w:tcW w:w="2410" w:type="dxa"/>
            <w:tcBorders>
              <w:top w:val="nil"/>
              <w:left w:val="nil"/>
              <w:bottom w:val="nil"/>
              <w:right w:val="nil"/>
            </w:tcBorders>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Declarations of officers' interests, gifts and hospitality</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Re-review of earlier work</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 (but with potential reputational risk)</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 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Members' expenses and allowances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Re-review of earlier work</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 (but with potential reputational risk)</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 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Responses to complaints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RACE-based review</w:t>
            </w:r>
          </w:p>
        </w:tc>
        <w:tc>
          <w:tcPr>
            <w:tcW w:w="2409" w:type="dxa"/>
            <w:tcBorders>
              <w:top w:val="nil"/>
              <w:left w:val="nil"/>
              <w:bottom w:val="nil"/>
              <w:right w:val="nil"/>
            </w:tcBorders>
          </w:tcPr>
          <w:p w:rsidR="00974DED" w:rsidRPr="00B83183" w:rsidRDefault="00D77466" w:rsidP="00974DED">
            <w:pPr>
              <w:spacing w:before="40" w:after="40"/>
              <w:rPr>
                <w:rFonts w:cs="Arial"/>
              </w:rPr>
            </w:pPr>
            <w:r w:rsidRPr="00B83183">
              <w:rPr>
                <w:rFonts w:cs="Arial"/>
                <w:sz w:val="22"/>
                <w:szCs w:val="22"/>
              </w:rPr>
              <w:t>Low (but with potential reputational risk)</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 controls</w:t>
            </w:r>
          </w:p>
        </w:tc>
      </w:tr>
      <w:tr w:rsidR="00974DED" w:rsidRPr="00B83183" w:rsidTr="00275CF2">
        <w:tc>
          <w:tcPr>
            <w:tcW w:w="4395" w:type="dxa"/>
            <w:tcBorders>
              <w:top w:val="nil"/>
              <w:left w:val="nil"/>
              <w:bottom w:val="nil"/>
              <w:right w:val="nil"/>
            </w:tcBorders>
            <w:shd w:val="clear" w:color="auto" w:fill="auto"/>
          </w:tcPr>
          <w:p w:rsidR="00974DED" w:rsidRPr="00B83183" w:rsidRDefault="00974DED" w:rsidP="00974DED">
            <w:pPr>
              <w:spacing w:before="40" w:after="40"/>
              <w:rPr>
                <w:rFonts w:cs="Arial"/>
                <w:b/>
              </w:rPr>
            </w:pPr>
            <w:r w:rsidRPr="00B83183">
              <w:rPr>
                <w:rFonts w:cs="Arial"/>
                <w:b/>
                <w:sz w:val="22"/>
                <w:szCs w:val="22"/>
              </w:rPr>
              <w:t>Information governance</w:t>
            </w:r>
          </w:p>
        </w:tc>
        <w:tc>
          <w:tcPr>
            <w:tcW w:w="2835" w:type="dxa"/>
            <w:tcBorders>
              <w:top w:val="nil"/>
              <w:left w:val="nil"/>
              <w:bottom w:val="nil"/>
              <w:right w:val="nil"/>
            </w:tcBorders>
            <w:shd w:val="clear" w:color="auto" w:fill="auto"/>
          </w:tcPr>
          <w:p w:rsidR="00974DED" w:rsidRPr="00B83183" w:rsidRDefault="00974DED" w:rsidP="00974DED">
            <w:pPr>
              <w:spacing w:before="40" w:after="40"/>
              <w:rPr>
                <w:rFonts w:cs="Arial"/>
              </w:rPr>
            </w:pPr>
          </w:p>
        </w:tc>
        <w:tc>
          <w:tcPr>
            <w:tcW w:w="2409" w:type="dxa"/>
            <w:tcBorders>
              <w:top w:val="nil"/>
              <w:left w:val="nil"/>
              <w:bottom w:val="nil"/>
              <w:right w:val="nil"/>
            </w:tcBorders>
          </w:tcPr>
          <w:p w:rsidR="00974DED" w:rsidRPr="00B83183" w:rsidRDefault="00974DED" w:rsidP="00974DED">
            <w:pPr>
              <w:spacing w:before="40" w:after="40"/>
              <w:rPr>
                <w:rFonts w:cs="Arial"/>
              </w:rPr>
            </w:pP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p>
        </w:tc>
        <w:tc>
          <w:tcPr>
            <w:tcW w:w="2410" w:type="dxa"/>
            <w:tcBorders>
              <w:top w:val="nil"/>
              <w:left w:val="nil"/>
              <w:bottom w:val="nil"/>
              <w:right w:val="nil"/>
            </w:tcBorders>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Overall corporate arrangements and action</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High</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B74B10">
            <w:pPr>
              <w:spacing w:before="40" w:after="40"/>
              <w:rPr>
                <w:rFonts w:cs="Arial"/>
              </w:rPr>
            </w:pPr>
            <w:r w:rsidRPr="00B83183">
              <w:rPr>
                <w:rFonts w:cs="Arial"/>
                <w:sz w:val="22"/>
                <w:szCs w:val="22"/>
              </w:rPr>
              <w:t xml:space="preserve">Substantial </w:t>
            </w:r>
            <w:r>
              <w:rPr>
                <w:rFonts w:cs="Arial"/>
                <w:sz w:val="22"/>
                <w:szCs w:val="22"/>
              </w:rPr>
              <w:t>– action</w:t>
            </w:r>
            <w:r w:rsidR="00B74B10">
              <w:rPr>
                <w:rFonts w:cs="Arial"/>
                <w:sz w:val="22"/>
                <w:szCs w:val="22"/>
              </w:rPr>
              <w:t>s</w:t>
            </w:r>
          </w:p>
        </w:tc>
      </w:tr>
      <w:tr w:rsidR="00974DED" w:rsidRPr="00B83183" w:rsidTr="00275CF2">
        <w:tc>
          <w:tcPr>
            <w:tcW w:w="4395" w:type="dxa"/>
            <w:tcBorders>
              <w:top w:val="nil"/>
              <w:left w:val="nil"/>
              <w:bottom w:val="nil"/>
              <w:right w:val="nil"/>
            </w:tcBorders>
            <w:shd w:val="clear" w:color="000000" w:fill="F2F2F2"/>
            <w:hideMark/>
          </w:tcPr>
          <w:p w:rsidR="00974DED" w:rsidRPr="00B83183" w:rsidRDefault="00974DED" w:rsidP="00D06581">
            <w:pPr>
              <w:rPr>
                <w:rFonts w:cs="Arial"/>
              </w:rPr>
            </w:pPr>
            <w:r w:rsidRPr="00B83183">
              <w:rPr>
                <w:rFonts w:cs="Arial"/>
                <w:b/>
                <w:bCs/>
                <w:sz w:val="22"/>
                <w:szCs w:val="22"/>
              </w:rPr>
              <w:t>Common controls</w:t>
            </w:r>
            <w:r w:rsidRPr="00B83183">
              <w:rPr>
                <w:rFonts w:cs="Arial"/>
                <w:sz w:val="22"/>
                <w:szCs w:val="22"/>
              </w:rPr>
              <w:t> </w:t>
            </w:r>
          </w:p>
        </w:tc>
        <w:tc>
          <w:tcPr>
            <w:tcW w:w="2835" w:type="dxa"/>
            <w:tcBorders>
              <w:top w:val="nil"/>
              <w:left w:val="nil"/>
              <w:bottom w:val="nil"/>
              <w:right w:val="nil"/>
            </w:tcBorders>
            <w:shd w:val="clear" w:color="000000" w:fill="F2F2F2"/>
            <w:hideMark/>
          </w:tcPr>
          <w:p w:rsidR="00974DED" w:rsidRPr="00B83183" w:rsidRDefault="00974DED" w:rsidP="00D06581">
            <w:pPr>
              <w:rPr>
                <w:rFonts w:cs="Arial"/>
              </w:rPr>
            </w:pPr>
            <w:r w:rsidRPr="00B83183">
              <w:rPr>
                <w:rFonts w:cs="Arial"/>
                <w:sz w:val="22"/>
                <w:szCs w:val="22"/>
              </w:rPr>
              <w:t> </w:t>
            </w:r>
          </w:p>
        </w:tc>
        <w:tc>
          <w:tcPr>
            <w:tcW w:w="2409" w:type="dxa"/>
            <w:tcBorders>
              <w:top w:val="nil"/>
              <w:left w:val="nil"/>
              <w:bottom w:val="nil"/>
              <w:right w:val="nil"/>
            </w:tcBorders>
            <w:shd w:val="clear" w:color="000000" w:fill="F2F2F2"/>
          </w:tcPr>
          <w:p w:rsidR="00974DED" w:rsidRPr="00B83183" w:rsidRDefault="00974DED" w:rsidP="00D06581">
            <w:pPr>
              <w:rPr>
                <w:rFonts w:cs="Arial"/>
              </w:rPr>
            </w:pPr>
          </w:p>
        </w:tc>
        <w:tc>
          <w:tcPr>
            <w:tcW w:w="709" w:type="dxa"/>
            <w:tcBorders>
              <w:top w:val="nil"/>
              <w:left w:val="nil"/>
              <w:bottom w:val="nil"/>
              <w:right w:val="nil"/>
            </w:tcBorders>
            <w:shd w:val="clear" w:color="000000" w:fill="F2F2F2"/>
          </w:tcPr>
          <w:p w:rsidR="00974DED" w:rsidRPr="00B83183" w:rsidRDefault="00974DED" w:rsidP="00D06581">
            <w:pPr>
              <w:jc w:val="center"/>
              <w:rPr>
                <w:rFonts w:cs="Arial"/>
              </w:rPr>
            </w:pPr>
          </w:p>
        </w:tc>
        <w:tc>
          <w:tcPr>
            <w:tcW w:w="1276" w:type="dxa"/>
            <w:tcBorders>
              <w:top w:val="nil"/>
              <w:left w:val="nil"/>
              <w:bottom w:val="nil"/>
              <w:right w:val="nil"/>
            </w:tcBorders>
            <w:shd w:val="clear" w:color="000000" w:fill="F2F2F2"/>
          </w:tcPr>
          <w:p w:rsidR="00974DED" w:rsidRPr="00B83183" w:rsidRDefault="00974DED" w:rsidP="00D06581">
            <w:pPr>
              <w:jc w:val="center"/>
              <w:rPr>
                <w:rFonts w:cs="Arial"/>
              </w:rPr>
            </w:pPr>
          </w:p>
        </w:tc>
        <w:tc>
          <w:tcPr>
            <w:tcW w:w="2410" w:type="dxa"/>
            <w:tcBorders>
              <w:top w:val="nil"/>
              <w:left w:val="nil"/>
              <w:bottom w:val="nil"/>
              <w:right w:val="nil"/>
            </w:tcBorders>
            <w:shd w:val="clear" w:color="000000" w:fill="F2F2F2"/>
          </w:tcPr>
          <w:p w:rsidR="00974DED" w:rsidRPr="00B83183" w:rsidRDefault="00974DED" w:rsidP="00D06581">
            <w:pPr>
              <w:rPr>
                <w:rFonts w:cs="Arial"/>
              </w:rPr>
            </w:pPr>
          </w:p>
        </w:tc>
      </w:tr>
      <w:tr w:rsidR="00974DED" w:rsidRPr="00B83183" w:rsidTr="00275CF2">
        <w:tc>
          <w:tcPr>
            <w:tcW w:w="4395" w:type="dxa"/>
            <w:tcBorders>
              <w:top w:val="nil"/>
              <w:left w:val="nil"/>
              <w:bottom w:val="nil"/>
              <w:right w:val="nil"/>
            </w:tcBorders>
            <w:shd w:val="clear" w:color="auto" w:fill="auto"/>
          </w:tcPr>
          <w:p w:rsidR="00974DED" w:rsidRPr="00B83183" w:rsidRDefault="00974DED" w:rsidP="00974DED">
            <w:pPr>
              <w:spacing w:before="40" w:after="40"/>
              <w:rPr>
                <w:rFonts w:cs="Arial"/>
                <w:b/>
                <w:color w:val="000000"/>
              </w:rPr>
            </w:pPr>
            <w:r w:rsidRPr="00B83183">
              <w:rPr>
                <w:rFonts w:cs="Arial"/>
                <w:b/>
                <w:sz w:val="22"/>
                <w:szCs w:val="22"/>
              </w:rPr>
              <w:t>Financial controls</w:t>
            </w:r>
          </w:p>
        </w:tc>
        <w:tc>
          <w:tcPr>
            <w:tcW w:w="2835" w:type="dxa"/>
            <w:tcBorders>
              <w:top w:val="nil"/>
              <w:left w:val="nil"/>
              <w:bottom w:val="nil"/>
              <w:right w:val="nil"/>
            </w:tcBorders>
            <w:shd w:val="clear" w:color="auto" w:fill="auto"/>
          </w:tcPr>
          <w:p w:rsidR="00974DED" w:rsidRPr="00B83183" w:rsidRDefault="00974DED" w:rsidP="00974DED">
            <w:pPr>
              <w:spacing w:before="40" w:after="40"/>
              <w:rPr>
                <w:rFonts w:cs="Arial"/>
              </w:rPr>
            </w:pPr>
          </w:p>
        </w:tc>
        <w:tc>
          <w:tcPr>
            <w:tcW w:w="2409" w:type="dxa"/>
            <w:tcBorders>
              <w:top w:val="nil"/>
              <w:left w:val="nil"/>
              <w:bottom w:val="nil"/>
              <w:right w:val="nil"/>
            </w:tcBorders>
          </w:tcPr>
          <w:p w:rsidR="00974DED" w:rsidRPr="00B83183" w:rsidRDefault="00974DED" w:rsidP="00974DED">
            <w:pPr>
              <w:spacing w:before="40" w:after="40"/>
              <w:rPr>
                <w:rFonts w:cs="Arial"/>
              </w:rPr>
            </w:pP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p>
        </w:tc>
        <w:tc>
          <w:tcPr>
            <w:tcW w:w="2410" w:type="dxa"/>
            <w:tcBorders>
              <w:top w:val="nil"/>
              <w:left w:val="nil"/>
              <w:bottom w:val="nil"/>
              <w:right w:val="nil"/>
            </w:tcBorders>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1664FC">
            <w:pPr>
              <w:spacing w:before="40" w:after="40"/>
              <w:rPr>
                <w:rFonts w:cs="Arial"/>
                <w:color w:val="000000"/>
              </w:rPr>
            </w:pPr>
            <w:r w:rsidRPr="00B83183">
              <w:rPr>
                <w:rFonts w:cs="Arial"/>
                <w:color w:val="000000"/>
                <w:sz w:val="22"/>
                <w:szCs w:val="22"/>
              </w:rPr>
              <w:t>Accounts payable (</w:t>
            </w:r>
            <w:r w:rsidRPr="00B83183">
              <w:rPr>
                <w:rFonts w:cs="Arial"/>
                <w:sz w:val="22"/>
                <w:szCs w:val="22"/>
              </w:rPr>
              <w:t>excluding social care payments)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1664FC" w:rsidRDefault="00A60787" w:rsidP="00974DED">
            <w:pPr>
              <w:spacing w:before="40" w:after="40"/>
              <w:jc w:val="center"/>
              <w:rPr>
                <w:rFonts w:cs="Arial"/>
              </w:rPr>
            </w:pPr>
            <w:r w:rsidRPr="001664FC">
              <w:rPr>
                <w:rFonts w:cs="Arial"/>
                <w:sz w:val="22"/>
                <w:szCs w:val="22"/>
              </w:rPr>
              <w:sym w:font="Wingdings" w:char="F0FC"/>
            </w:r>
          </w:p>
        </w:tc>
        <w:tc>
          <w:tcPr>
            <w:tcW w:w="2410" w:type="dxa"/>
            <w:tcBorders>
              <w:top w:val="nil"/>
              <w:left w:val="nil"/>
              <w:bottom w:val="nil"/>
              <w:right w:val="nil"/>
            </w:tcBorders>
          </w:tcPr>
          <w:p w:rsidR="00A60787" w:rsidRPr="001664FC" w:rsidRDefault="00A60787" w:rsidP="00A60787">
            <w:pPr>
              <w:spacing w:before="40" w:after="40"/>
              <w:rPr>
                <w:rFonts w:cs="Arial"/>
              </w:rPr>
            </w:pPr>
            <w:r w:rsidRPr="001664FC">
              <w:rPr>
                <w:rFonts w:cs="Arial"/>
                <w:sz w:val="22"/>
                <w:szCs w:val="22"/>
              </w:rPr>
              <w:t>Substantial – 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Accounts receivable and debt recovery</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t>x</w:t>
            </w:r>
          </w:p>
        </w:tc>
        <w:tc>
          <w:tcPr>
            <w:tcW w:w="2410" w:type="dxa"/>
            <w:tcBorders>
              <w:top w:val="nil"/>
              <w:left w:val="nil"/>
              <w:bottom w:val="nil"/>
              <w:right w:val="nil"/>
            </w:tcBorders>
          </w:tcPr>
          <w:p w:rsidR="005A10F9" w:rsidRPr="001664FC" w:rsidRDefault="005A10F9" w:rsidP="00974DED">
            <w:pPr>
              <w:spacing w:before="40" w:after="40"/>
              <w:rPr>
                <w:rFonts w:cs="Arial"/>
              </w:rPr>
            </w:pPr>
            <w:r w:rsidRPr="001664FC">
              <w:rPr>
                <w:rFonts w:cs="Arial"/>
                <w:sz w:val="22"/>
                <w:szCs w:val="22"/>
              </w:rPr>
              <w:t>Limited – actions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Budget monitoring and control</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RACE-based review</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 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Capital accounting</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RACE-based review</w:t>
            </w:r>
          </w:p>
        </w:tc>
        <w:tc>
          <w:tcPr>
            <w:tcW w:w="2409" w:type="dxa"/>
            <w:tcBorders>
              <w:top w:val="nil"/>
              <w:left w:val="nil"/>
              <w:bottom w:val="nil"/>
              <w:right w:val="nil"/>
            </w:tcBorders>
          </w:tcPr>
          <w:p w:rsidR="00974DED" w:rsidRPr="00B83183" w:rsidRDefault="00D77466"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 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lastRenderedPageBreak/>
              <w:t>Cash and banking (centrally, and individual establishments)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 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Expenses and allowances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r>
              <w:rPr>
                <w:rFonts w:cs="Arial"/>
                <w:sz w:val="22"/>
                <w:szCs w:val="22"/>
              </w:rPr>
              <w:t xml:space="preserve"> </w:t>
            </w:r>
            <w:r w:rsidRPr="00B83183">
              <w:rPr>
                <w:rFonts w:cs="Arial"/>
                <w:sz w:val="22"/>
                <w:szCs w:val="22"/>
              </w:rPr>
              <w:t>(but with potential financial risk)</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974DED" w:rsidRDefault="00974DED" w:rsidP="00974DED">
            <w:pPr>
              <w:spacing w:before="40" w:after="40"/>
              <w:rPr>
                <w:rFonts w:cs="Arial"/>
              </w:rPr>
            </w:pPr>
            <w:r w:rsidRPr="00974DED">
              <w:rPr>
                <w:rFonts w:cs="Arial"/>
                <w:sz w:val="22"/>
                <w:szCs w:val="22"/>
              </w:rPr>
              <w:t xml:space="preserve">Limited – </w:t>
            </w:r>
            <w:r>
              <w:rPr>
                <w:rFonts w:cs="Arial"/>
                <w:sz w:val="22"/>
                <w:szCs w:val="22"/>
              </w:rPr>
              <w:t>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General ledger</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High</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Payroll</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w:t>
            </w:r>
          </w:p>
        </w:tc>
        <w:tc>
          <w:tcPr>
            <w:tcW w:w="2409" w:type="dxa"/>
            <w:tcBorders>
              <w:top w:val="nil"/>
              <w:left w:val="nil"/>
              <w:bottom w:val="nil"/>
              <w:right w:val="nil"/>
            </w:tcBorders>
          </w:tcPr>
          <w:p w:rsidR="00974DED" w:rsidRPr="00B83183" w:rsidRDefault="00D52363" w:rsidP="00974DED">
            <w:pPr>
              <w:spacing w:before="40" w:after="40"/>
              <w:rPr>
                <w:rFonts w:cs="Arial"/>
              </w:rPr>
            </w:pPr>
            <w:r>
              <w:rPr>
                <w:rFonts w:cs="Arial"/>
                <w:sz w:val="22"/>
                <w:szCs w:val="22"/>
              </w:rPr>
              <w:t>Moderate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color w:val="FF0000"/>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Payroll additional payments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 of specific services</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r>
              <w:rPr>
                <w:rFonts w:cs="Arial"/>
                <w:sz w:val="22"/>
                <w:szCs w:val="22"/>
              </w:rPr>
              <w:t xml:space="preserve"> </w:t>
            </w:r>
            <w:r w:rsidRPr="00B83183">
              <w:rPr>
                <w:rFonts w:cs="Arial"/>
                <w:sz w:val="22"/>
                <w:szCs w:val="22"/>
              </w:rPr>
              <w:t>(but with potential financial risk)</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Treasury management</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High</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VAT</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b/>
              </w:rPr>
            </w:pPr>
            <w:r w:rsidRPr="00B83183">
              <w:rPr>
                <w:rFonts w:cs="Arial"/>
                <w:b/>
                <w:sz w:val="22"/>
                <w:szCs w:val="22"/>
              </w:rPr>
              <w:t>Human Resources controls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 </w:t>
            </w:r>
          </w:p>
        </w:tc>
        <w:tc>
          <w:tcPr>
            <w:tcW w:w="2409" w:type="dxa"/>
            <w:tcBorders>
              <w:top w:val="nil"/>
              <w:left w:val="nil"/>
              <w:bottom w:val="nil"/>
              <w:right w:val="nil"/>
            </w:tcBorders>
          </w:tcPr>
          <w:p w:rsidR="00974DED" w:rsidRPr="00B83183" w:rsidRDefault="00974DED" w:rsidP="00974DED">
            <w:pPr>
              <w:spacing w:before="40" w:after="40"/>
              <w:rPr>
                <w:rFonts w:cs="Arial"/>
              </w:rPr>
            </w:pP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1664FC" w:rsidRDefault="00974DED" w:rsidP="00974DED">
            <w:pPr>
              <w:spacing w:before="40" w:after="40"/>
              <w:jc w:val="center"/>
              <w:rPr>
                <w:rFonts w:cs="Arial"/>
              </w:rPr>
            </w:pPr>
          </w:p>
        </w:tc>
        <w:tc>
          <w:tcPr>
            <w:tcW w:w="2410" w:type="dxa"/>
            <w:tcBorders>
              <w:top w:val="nil"/>
              <w:left w:val="nil"/>
              <w:bottom w:val="nil"/>
              <w:right w:val="nil"/>
            </w:tcBorders>
          </w:tcPr>
          <w:p w:rsidR="00974DED" w:rsidRPr="001664FC"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Hierarchies in Oracle HR/ payroll system</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1664FC" w:rsidRDefault="00A53158" w:rsidP="00974DED">
            <w:pPr>
              <w:spacing w:before="40" w:after="40"/>
              <w:jc w:val="center"/>
              <w:rPr>
                <w:rFonts w:cs="Arial"/>
              </w:rPr>
            </w:pPr>
            <w:r w:rsidRPr="001664FC">
              <w:rPr>
                <w:rFonts w:cs="Arial"/>
                <w:sz w:val="22"/>
                <w:szCs w:val="22"/>
              </w:rPr>
              <w:sym w:font="Wingdings" w:char="F0FC"/>
            </w:r>
          </w:p>
        </w:tc>
        <w:tc>
          <w:tcPr>
            <w:tcW w:w="2410" w:type="dxa"/>
            <w:tcBorders>
              <w:top w:val="nil"/>
              <w:left w:val="nil"/>
              <w:bottom w:val="nil"/>
              <w:right w:val="nil"/>
            </w:tcBorders>
          </w:tcPr>
          <w:p w:rsidR="00974DED" w:rsidRPr="001664FC" w:rsidRDefault="00A53158" w:rsidP="00E60758">
            <w:pPr>
              <w:spacing w:before="40" w:after="40"/>
              <w:rPr>
                <w:rFonts w:cs="Arial"/>
              </w:rPr>
            </w:pPr>
            <w:r w:rsidRPr="001664FC">
              <w:rPr>
                <w:rFonts w:cs="Arial"/>
                <w:sz w:val="22"/>
                <w:szCs w:val="22"/>
              </w:rPr>
              <w:t>Substantial – actions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b/>
                <w:bCs/>
                <w:sz w:val="22"/>
                <w:szCs w:val="22"/>
              </w:rPr>
              <w:t>ICT controls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 </w:t>
            </w:r>
          </w:p>
        </w:tc>
        <w:tc>
          <w:tcPr>
            <w:tcW w:w="2409" w:type="dxa"/>
            <w:tcBorders>
              <w:top w:val="nil"/>
              <w:left w:val="nil"/>
              <w:bottom w:val="nil"/>
              <w:right w:val="nil"/>
            </w:tcBorders>
          </w:tcPr>
          <w:p w:rsidR="00974DED" w:rsidRPr="00B83183" w:rsidRDefault="00974DED" w:rsidP="00974DED">
            <w:pPr>
              <w:spacing w:before="40" w:after="40"/>
              <w:rPr>
                <w:rFonts w:cs="Arial"/>
              </w:rPr>
            </w:pP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1664FC" w:rsidRDefault="00974DED" w:rsidP="00974DED">
            <w:pPr>
              <w:spacing w:before="40" w:after="40"/>
              <w:jc w:val="center"/>
              <w:rPr>
                <w:rFonts w:cs="Arial"/>
              </w:rPr>
            </w:pPr>
          </w:p>
        </w:tc>
        <w:tc>
          <w:tcPr>
            <w:tcW w:w="2410" w:type="dxa"/>
            <w:tcBorders>
              <w:top w:val="nil"/>
              <w:left w:val="nil"/>
              <w:bottom w:val="nil"/>
              <w:right w:val="nil"/>
            </w:tcBorders>
          </w:tcPr>
          <w:p w:rsidR="00974DED" w:rsidRPr="001664FC"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FF72CD">
            <w:pPr>
              <w:spacing w:before="40" w:after="40"/>
              <w:rPr>
                <w:rFonts w:cs="Arial"/>
              </w:rPr>
            </w:pPr>
            <w:r w:rsidRPr="00B83183">
              <w:rPr>
                <w:rFonts w:cs="Arial"/>
                <w:sz w:val="22"/>
                <w:szCs w:val="22"/>
              </w:rPr>
              <w:t xml:space="preserve">Network </w:t>
            </w:r>
            <w:r w:rsidR="00FF72CD">
              <w:rPr>
                <w:rFonts w:cs="Arial"/>
                <w:sz w:val="22"/>
                <w:szCs w:val="22"/>
              </w:rPr>
              <w:t xml:space="preserve">user </w:t>
            </w:r>
            <w:r w:rsidRPr="00B83183">
              <w:rPr>
                <w:rFonts w:cs="Arial"/>
                <w:sz w:val="22"/>
                <w:szCs w:val="22"/>
              </w:rPr>
              <w:t>management</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 of network user access</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High</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A53158"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A53158" w:rsidP="00974DED">
            <w:pPr>
              <w:spacing w:before="40" w:after="40"/>
              <w:rPr>
                <w:rFonts w:cs="Arial"/>
              </w:rPr>
            </w:pPr>
            <w:r w:rsidRPr="00B83183">
              <w:rPr>
                <w:rFonts w:cs="Arial"/>
                <w:sz w:val="22"/>
                <w:szCs w:val="22"/>
              </w:rPr>
              <w:t xml:space="preserve">Substantial </w:t>
            </w:r>
            <w:r>
              <w:rPr>
                <w:rFonts w:cs="Arial"/>
                <w:sz w:val="22"/>
                <w:szCs w:val="22"/>
              </w:rPr>
              <w:t>– actions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b/>
              </w:rPr>
            </w:pPr>
            <w:r w:rsidRPr="00B83183">
              <w:rPr>
                <w:rFonts w:cs="Arial"/>
                <w:b/>
                <w:sz w:val="22"/>
                <w:szCs w:val="22"/>
              </w:rPr>
              <w:t>Procurement controls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 </w:t>
            </w:r>
          </w:p>
        </w:tc>
        <w:tc>
          <w:tcPr>
            <w:tcW w:w="2409" w:type="dxa"/>
            <w:tcBorders>
              <w:top w:val="nil"/>
              <w:left w:val="nil"/>
              <w:bottom w:val="nil"/>
              <w:right w:val="nil"/>
            </w:tcBorders>
          </w:tcPr>
          <w:p w:rsidR="00974DED" w:rsidRPr="00B83183" w:rsidRDefault="00974DED" w:rsidP="00974DED">
            <w:pPr>
              <w:spacing w:before="40" w:after="40"/>
              <w:rPr>
                <w:rFonts w:cs="Arial"/>
              </w:rPr>
            </w:pP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p>
        </w:tc>
        <w:tc>
          <w:tcPr>
            <w:tcW w:w="2410" w:type="dxa"/>
            <w:tcBorders>
              <w:top w:val="nil"/>
              <w:left w:val="nil"/>
              <w:bottom w:val="nil"/>
              <w:right w:val="nil"/>
            </w:tcBorders>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Central procurement</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RACE-based review</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High</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467E94"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B74B10">
            <w:pPr>
              <w:spacing w:before="40" w:after="40"/>
              <w:rPr>
                <w:rFonts w:cs="Arial"/>
                <w:color w:val="FF0000"/>
              </w:rPr>
            </w:pPr>
            <w:r w:rsidRPr="00F4534D">
              <w:rPr>
                <w:rFonts w:cs="Arial"/>
                <w:sz w:val="22"/>
                <w:szCs w:val="22"/>
              </w:rPr>
              <w:t xml:space="preserve">Substantial </w:t>
            </w:r>
            <w:r>
              <w:rPr>
                <w:rFonts w:cs="Arial"/>
                <w:sz w:val="22"/>
                <w:szCs w:val="22"/>
              </w:rPr>
              <w:t>– action</w:t>
            </w:r>
            <w:r w:rsidR="00B74B10">
              <w:rPr>
                <w:rFonts w:cs="Arial"/>
                <w:sz w:val="22"/>
                <w:szCs w:val="22"/>
              </w:rPr>
              <w:t>s</w:t>
            </w:r>
          </w:p>
        </w:tc>
      </w:tr>
      <w:tr w:rsidR="00974DED" w:rsidRPr="00D06581" w:rsidTr="00275CF2">
        <w:tc>
          <w:tcPr>
            <w:tcW w:w="4395" w:type="dxa"/>
            <w:tcBorders>
              <w:top w:val="nil"/>
              <w:left w:val="nil"/>
              <w:bottom w:val="nil"/>
              <w:right w:val="nil"/>
            </w:tcBorders>
            <w:shd w:val="clear" w:color="000000" w:fill="F2F2F2"/>
            <w:hideMark/>
          </w:tcPr>
          <w:p w:rsidR="00974DED" w:rsidRPr="00D06581" w:rsidRDefault="00974DED" w:rsidP="00D06581">
            <w:pPr>
              <w:rPr>
                <w:rFonts w:cs="Arial"/>
                <w:b/>
                <w:bCs/>
              </w:rPr>
            </w:pPr>
            <w:r w:rsidRPr="00B83183">
              <w:rPr>
                <w:rFonts w:cs="Arial"/>
                <w:b/>
                <w:bCs/>
                <w:sz w:val="22"/>
                <w:szCs w:val="22"/>
              </w:rPr>
              <w:t>Service specific controls</w:t>
            </w:r>
            <w:r w:rsidRPr="00D06581">
              <w:rPr>
                <w:rFonts w:cs="Arial"/>
                <w:b/>
                <w:bCs/>
                <w:sz w:val="22"/>
                <w:szCs w:val="22"/>
              </w:rPr>
              <w:t> </w:t>
            </w:r>
          </w:p>
        </w:tc>
        <w:tc>
          <w:tcPr>
            <w:tcW w:w="2835" w:type="dxa"/>
            <w:tcBorders>
              <w:top w:val="nil"/>
              <w:left w:val="nil"/>
              <w:bottom w:val="nil"/>
              <w:right w:val="nil"/>
            </w:tcBorders>
            <w:shd w:val="clear" w:color="000000" w:fill="F2F2F2"/>
            <w:hideMark/>
          </w:tcPr>
          <w:p w:rsidR="00974DED" w:rsidRPr="00D06581" w:rsidRDefault="00974DED" w:rsidP="00D06581">
            <w:pPr>
              <w:rPr>
                <w:rFonts w:cs="Arial"/>
                <w:b/>
                <w:bCs/>
              </w:rPr>
            </w:pPr>
            <w:r w:rsidRPr="00D06581">
              <w:rPr>
                <w:rFonts w:cs="Arial"/>
                <w:b/>
                <w:bCs/>
                <w:sz w:val="22"/>
                <w:szCs w:val="22"/>
              </w:rPr>
              <w:t> </w:t>
            </w:r>
          </w:p>
        </w:tc>
        <w:tc>
          <w:tcPr>
            <w:tcW w:w="2409" w:type="dxa"/>
            <w:tcBorders>
              <w:top w:val="nil"/>
              <w:left w:val="nil"/>
              <w:bottom w:val="nil"/>
              <w:right w:val="nil"/>
            </w:tcBorders>
            <w:shd w:val="clear" w:color="000000" w:fill="F2F2F2"/>
          </w:tcPr>
          <w:p w:rsidR="00974DED" w:rsidRPr="00D06581" w:rsidRDefault="00974DED" w:rsidP="00D06581">
            <w:pPr>
              <w:rPr>
                <w:rFonts w:cs="Arial"/>
                <w:b/>
                <w:bCs/>
              </w:rPr>
            </w:pPr>
          </w:p>
        </w:tc>
        <w:tc>
          <w:tcPr>
            <w:tcW w:w="709" w:type="dxa"/>
            <w:tcBorders>
              <w:top w:val="nil"/>
              <w:left w:val="nil"/>
              <w:bottom w:val="nil"/>
              <w:right w:val="nil"/>
            </w:tcBorders>
            <w:shd w:val="clear" w:color="000000" w:fill="F2F2F2"/>
          </w:tcPr>
          <w:p w:rsidR="00974DED" w:rsidRPr="00D06581" w:rsidRDefault="00974DED" w:rsidP="00D06581">
            <w:pPr>
              <w:rPr>
                <w:rFonts w:cs="Arial"/>
                <w:b/>
                <w:bCs/>
              </w:rPr>
            </w:pPr>
          </w:p>
        </w:tc>
        <w:tc>
          <w:tcPr>
            <w:tcW w:w="1276" w:type="dxa"/>
            <w:tcBorders>
              <w:top w:val="nil"/>
              <w:left w:val="nil"/>
              <w:bottom w:val="nil"/>
              <w:right w:val="nil"/>
            </w:tcBorders>
            <w:shd w:val="clear" w:color="000000" w:fill="F2F2F2"/>
          </w:tcPr>
          <w:p w:rsidR="00974DED" w:rsidRPr="00D06581" w:rsidRDefault="00974DED" w:rsidP="00D06581">
            <w:pPr>
              <w:rPr>
                <w:rFonts w:cs="Arial"/>
                <w:b/>
                <w:bCs/>
              </w:rPr>
            </w:pPr>
          </w:p>
        </w:tc>
        <w:tc>
          <w:tcPr>
            <w:tcW w:w="2410" w:type="dxa"/>
            <w:tcBorders>
              <w:top w:val="nil"/>
              <w:left w:val="nil"/>
              <w:bottom w:val="nil"/>
              <w:right w:val="nil"/>
            </w:tcBorders>
            <w:shd w:val="clear" w:color="000000" w:fill="F2F2F2"/>
          </w:tcPr>
          <w:p w:rsidR="00974DED" w:rsidRPr="00D06581" w:rsidRDefault="00974DED" w:rsidP="00D06581">
            <w:pPr>
              <w:rPr>
                <w:rFonts w:cs="Arial"/>
                <w:b/>
                <w:bCs/>
              </w:rPr>
            </w:pPr>
          </w:p>
        </w:tc>
      </w:tr>
      <w:tr w:rsidR="00974DED" w:rsidRPr="00DE01DA" w:rsidTr="00275CF2">
        <w:tc>
          <w:tcPr>
            <w:tcW w:w="4395" w:type="dxa"/>
            <w:tcBorders>
              <w:top w:val="nil"/>
              <w:left w:val="nil"/>
              <w:bottom w:val="nil"/>
              <w:right w:val="nil"/>
            </w:tcBorders>
            <w:shd w:val="clear" w:color="auto" w:fill="auto"/>
            <w:hideMark/>
          </w:tcPr>
          <w:p w:rsidR="00974DED" w:rsidRPr="00DE01DA" w:rsidRDefault="00974DED" w:rsidP="00974DED">
            <w:pPr>
              <w:spacing w:before="40" w:after="40"/>
              <w:rPr>
                <w:rFonts w:cs="Arial"/>
                <w:b/>
                <w:bCs/>
                <w:sz w:val="4"/>
                <w:szCs w:val="4"/>
              </w:rPr>
            </w:pPr>
          </w:p>
        </w:tc>
        <w:tc>
          <w:tcPr>
            <w:tcW w:w="2835" w:type="dxa"/>
            <w:tcBorders>
              <w:top w:val="nil"/>
              <w:left w:val="nil"/>
              <w:bottom w:val="nil"/>
              <w:right w:val="nil"/>
            </w:tcBorders>
            <w:shd w:val="clear" w:color="auto" w:fill="auto"/>
            <w:hideMark/>
          </w:tcPr>
          <w:p w:rsidR="00974DED" w:rsidRPr="00DE01DA" w:rsidRDefault="00974DED" w:rsidP="00974DED">
            <w:pPr>
              <w:spacing w:before="40" w:after="40"/>
              <w:rPr>
                <w:rFonts w:cs="Arial"/>
                <w:b/>
                <w:bCs/>
                <w:sz w:val="4"/>
                <w:szCs w:val="4"/>
              </w:rPr>
            </w:pPr>
          </w:p>
        </w:tc>
        <w:tc>
          <w:tcPr>
            <w:tcW w:w="2409" w:type="dxa"/>
            <w:tcBorders>
              <w:top w:val="nil"/>
              <w:left w:val="nil"/>
              <w:bottom w:val="nil"/>
              <w:right w:val="nil"/>
            </w:tcBorders>
          </w:tcPr>
          <w:p w:rsidR="00974DED" w:rsidRPr="00DE01DA" w:rsidRDefault="00974DED" w:rsidP="00974DED">
            <w:pPr>
              <w:spacing w:before="40" w:after="40"/>
              <w:rPr>
                <w:rFonts w:cs="Arial"/>
                <w:b/>
                <w:bCs/>
                <w:sz w:val="4"/>
                <w:szCs w:val="4"/>
              </w:rPr>
            </w:pPr>
          </w:p>
        </w:tc>
        <w:tc>
          <w:tcPr>
            <w:tcW w:w="709" w:type="dxa"/>
            <w:tcBorders>
              <w:top w:val="nil"/>
              <w:left w:val="nil"/>
              <w:bottom w:val="nil"/>
              <w:right w:val="nil"/>
            </w:tcBorders>
          </w:tcPr>
          <w:p w:rsidR="00974DED" w:rsidRPr="00DE01DA" w:rsidRDefault="00974DED" w:rsidP="00974DED">
            <w:pPr>
              <w:spacing w:before="40" w:after="40"/>
              <w:jc w:val="center"/>
              <w:rPr>
                <w:rFonts w:cs="Arial"/>
                <w:b/>
                <w:bCs/>
                <w:sz w:val="4"/>
                <w:szCs w:val="4"/>
              </w:rPr>
            </w:pPr>
          </w:p>
        </w:tc>
        <w:tc>
          <w:tcPr>
            <w:tcW w:w="1276" w:type="dxa"/>
            <w:tcBorders>
              <w:top w:val="nil"/>
              <w:left w:val="nil"/>
              <w:bottom w:val="nil"/>
              <w:right w:val="nil"/>
            </w:tcBorders>
          </w:tcPr>
          <w:p w:rsidR="00974DED" w:rsidRPr="00DE01DA" w:rsidRDefault="00974DED" w:rsidP="00974DED">
            <w:pPr>
              <w:spacing w:before="40" w:after="40"/>
              <w:jc w:val="center"/>
              <w:rPr>
                <w:rFonts w:cs="Arial"/>
                <w:b/>
                <w:bCs/>
                <w:sz w:val="4"/>
                <w:szCs w:val="4"/>
              </w:rPr>
            </w:pPr>
          </w:p>
        </w:tc>
        <w:tc>
          <w:tcPr>
            <w:tcW w:w="2410" w:type="dxa"/>
            <w:tcBorders>
              <w:top w:val="nil"/>
              <w:left w:val="nil"/>
              <w:bottom w:val="nil"/>
              <w:right w:val="nil"/>
            </w:tcBorders>
          </w:tcPr>
          <w:p w:rsidR="00974DED" w:rsidRPr="00DE01DA" w:rsidRDefault="00974DED" w:rsidP="00974DED">
            <w:pPr>
              <w:spacing w:before="40" w:after="40"/>
              <w:rPr>
                <w:rFonts w:cs="Arial"/>
                <w:b/>
                <w:bCs/>
                <w:sz w:val="4"/>
                <w:szCs w:val="4"/>
              </w:rPr>
            </w:pPr>
          </w:p>
        </w:tc>
      </w:tr>
      <w:tr w:rsidR="00974DED" w:rsidRPr="00B83183" w:rsidTr="00D06581">
        <w:trPr>
          <w:trHeight w:val="110"/>
        </w:trPr>
        <w:tc>
          <w:tcPr>
            <w:tcW w:w="4395" w:type="dxa"/>
            <w:tcBorders>
              <w:top w:val="nil"/>
              <w:left w:val="nil"/>
              <w:bottom w:val="nil"/>
              <w:right w:val="nil"/>
            </w:tcBorders>
            <w:shd w:val="clear" w:color="000000" w:fill="F2F2F2"/>
            <w:hideMark/>
          </w:tcPr>
          <w:p w:rsidR="00974DED" w:rsidRPr="008C3F7A" w:rsidRDefault="00974DED" w:rsidP="008C3F7A">
            <w:pPr>
              <w:pStyle w:val="Heading2"/>
              <w:spacing w:before="40" w:after="40"/>
              <w:rPr>
                <w:rFonts w:ascii="Arial" w:hAnsi="Arial" w:cs="Arial"/>
                <w:b w:val="0"/>
                <w:i w:val="0"/>
                <w:sz w:val="22"/>
                <w:szCs w:val="22"/>
              </w:rPr>
            </w:pPr>
            <w:r w:rsidRPr="008C3F7A">
              <w:rPr>
                <w:rFonts w:ascii="Arial" w:hAnsi="Arial" w:cs="Arial"/>
                <w:i w:val="0"/>
                <w:sz w:val="22"/>
                <w:szCs w:val="22"/>
              </w:rPr>
              <w:t>A</w:t>
            </w:r>
            <w:r w:rsidR="008C3F7A" w:rsidRPr="008C3F7A">
              <w:rPr>
                <w:rFonts w:ascii="Arial" w:hAnsi="Arial" w:cs="Arial"/>
                <w:i w:val="0"/>
                <w:sz w:val="22"/>
                <w:szCs w:val="22"/>
              </w:rPr>
              <w:t xml:space="preserve">dult </w:t>
            </w:r>
            <w:r w:rsidRPr="008C3F7A">
              <w:rPr>
                <w:rFonts w:ascii="Arial" w:hAnsi="Arial" w:cs="Arial"/>
                <w:i w:val="0"/>
                <w:sz w:val="22"/>
                <w:szCs w:val="22"/>
              </w:rPr>
              <w:t>S</w:t>
            </w:r>
            <w:r w:rsidR="008C3F7A" w:rsidRPr="008C3F7A">
              <w:rPr>
                <w:rFonts w:ascii="Arial" w:hAnsi="Arial" w:cs="Arial"/>
                <w:i w:val="0"/>
                <w:sz w:val="22"/>
                <w:szCs w:val="22"/>
              </w:rPr>
              <w:t xml:space="preserve">ervices, </w:t>
            </w:r>
            <w:r w:rsidRPr="008C3F7A">
              <w:rPr>
                <w:rFonts w:ascii="Arial" w:hAnsi="Arial" w:cs="Arial"/>
                <w:i w:val="0"/>
                <w:sz w:val="22"/>
                <w:szCs w:val="22"/>
              </w:rPr>
              <w:t>H</w:t>
            </w:r>
            <w:r w:rsidR="008C3F7A" w:rsidRPr="008C3F7A">
              <w:rPr>
                <w:rFonts w:ascii="Arial" w:hAnsi="Arial" w:cs="Arial"/>
                <w:i w:val="0"/>
                <w:sz w:val="22"/>
                <w:szCs w:val="22"/>
              </w:rPr>
              <w:t xml:space="preserve">ealth and </w:t>
            </w:r>
            <w:r w:rsidRPr="008C3F7A">
              <w:rPr>
                <w:rFonts w:ascii="Arial" w:hAnsi="Arial" w:cs="Arial"/>
                <w:i w:val="0"/>
                <w:sz w:val="22"/>
                <w:szCs w:val="22"/>
              </w:rPr>
              <w:t>W</w:t>
            </w:r>
            <w:r w:rsidR="008C3F7A" w:rsidRPr="008C3F7A">
              <w:rPr>
                <w:rFonts w:ascii="Arial" w:hAnsi="Arial" w:cs="Arial"/>
                <w:i w:val="0"/>
                <w:sz w:val="22"/>
                <w:szCs w:val="22"/>
              </w:rPr>
              <w:t>ellbeing</w:t>
            </w:r>
          </w:p>
        </w:tc>
        <w:tc>
          <w:tcPr>
            <w:tcW w:w="2835" w:type="dxa"/>
            <w:tcBorders>
              <w:top w:val="nil"/>
              <w:left w:val="nil"/>
              <w:bottom w:val="nil"/>
              <w:right w:val="nil"/>
            </w:tcBorders>
            <w:shd w:val="clear" w:color="000000" w:fill="F2F2F2"/>
            <w:hideMark/>
          </w:tcPr>
          <w:p w:rsidR="00974DED" w:rsidRPr="00B83183" w:rsidRDefault="00974DED" w:rsidP="00DE01DA">
            <w:pPr>
              <w:pStyle w:val="Heading2"/>
              <w:spacing w:before="40" w:after="40"/>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shd w:val="clear" w:color="000000" w:fill="F2F2F2"/>
          </w:tcPr>
          <w:p w:rsidR="00974DED" w:rsidRPr="00B83183" w:rsidRDefault="00974DED" w:rsidP="00DE01DA">
            <w:pPr>
              <w:pStyle w:val="Heading2"/>
              <w:spacing w:before="40" w:after="40"/>
              <w:rPr>
                <w:rFonts w:ascii="Arial" w:hAnsi="Arial" w:cs="Arial"/>
                <w:sz w:val="22"/>
                <w:szCs w:val="22"/>
              </w:rPr>
            </w:pPr>
          </w:p>
        </w:tc>
        <w:tc>
          <w:tcPr>
            <w:tcW w:w="709" w:type="dxa"/>
            <w:tcBorders>
              <w:top w:val="nil"/>
              <w:left w:val="nil"/>
              <w:bottom w:val="nil"/>
              <w:right w:val="nil"/>
            </w:tcBorders>
            <w:shd w:val="clear" w:color="000000" w:fill="F2F2F2"/>
          </w:tcPr>
          <w:p w:rsidR="00974DED" w:rsidRPr="00B83183" w:rsidRDefault="00974DED" w:rsidP="00DE01DA">
            <w:pPr>
              <w:pStyle w:val="Heading2"/>
              <w:spacing w:before="40" w:after="40"/>
              <w:jc w:val="center"/>
              <w:rPr>
                <w:rFonts w:ascii="Arial" w:hAnsi="Arial" w:cs="Arial"/>
                <w:sz w:val="22"/>
                <w:szCs w:val="22"/>
              </w:rPr>
            </w:pPr>
          </w:p>
        </w:tc>
        <w:tc>
          <w:tcPr>
            <w:tcW w:w="1276" w:type="dxa"/>
            <w:tcBorders>
              <w:top w:val="nil"/>
              <w:left w:val="nil"/>
              <w:bottom w:val="nil"/>
              <w:right w:val="nil"/>
            </w:tcBorders>
            <w:shd w:val="clear" w:color="000000" w:fill="F2F2F2"/>
          </w:tcPr>
          <w:p w:rsidR="00974DED" w:rsidRPr="00B83183" w:rsidRDefault="00974DED" w:rsidP="00DE01DA">
            <w:pPr>
              <w:pStyle w:val="Heading2"/>
              <w:spacing w:before="40" w:after="40"/>
              <w:jc w:val="center"/>
              <w:rPr>
                <w:rFonts w:ascii="Arial" w:hAnsi="Arial" w:cs="Arial"/>
                <w:sz w:val="22"/>
                <w:szCs w:val="22"/>
              </w:rPr>
            </w:pPr>
          </w:p>
        </w:tc>
        <w:tc>
          <w:tcPr>
            <w:tcW w:w="2410" w:type="dxa"/>
            <w:tcBorders>
              <w:top w:val="nil"/>
              <w:left w:val="nil"/>
              <w:bottom w:val="nil"/>
              <w:right w:val="nil"/>
            </w:tcBorders>
            <w:shd w:val="clear" w:color="000000" w:fill="F2F2F2"/>
          </w:tcPr>
          <w:p w:rsidR="00974DED" w:rsidRPr="00B83183" w:rsidRDefault="00974DED" w:rsidP="00DE01DA">
            <w:pPr>
              <w:pStyle w:val="Heading2"/>
              <w:spacing w:before="40" w:after="40"/>
              <w:rPr>
                <w:rFonts w:ascii="Arial" w:hAnsi="Arial" w:cs="Arial"/>
                <w:sz w:val="22"/>
                <w:szCs w:val="22"/>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Initial assessment for direct payments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High</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B74B10">
            <w:pPr>
              <w:spacing w:before="40" w:after="40"/>
              <w:rPr>
                <w:rFonts w:cs="Arial"/>
              </w:rPr>
            </w:pPr>
            <w:r w:rsidRPr="00B83183">
              <w:rPr>
                <w:rFonts w:cs="Arial"/>
                <w:sz w:val="22"/>
                <w:szCs w:val="22"/>
              </w:rPr>
              <w:t xml:space="preserve">Substantial </w:t>
            </w:r>
            <w:r>
              <w:rPr>
                <w:rFonts w:cs="Arial"/>
                <w:sz w:val="22"/>
                <w:szCs w:val="22"/>
              </w:rPr>
              <w:t>– action</w:t>
            </w:r>
            <w:r w:rsidR="00B74B10">
              <w:rPr>
                <w:rFonts w:cs="Arial"/>
                <w:sz w:val="22"/>
                <w:szCs w:val="22"/>
              </w:rPr>
              <w:t>s</w:t>
            </w:r>
          </w:p>
        </w:tc>
      </w:tr>
      <w:tr w:rsidR="00974DED" w:rsidRPr="00B83183" w:rsidTr="00275CF2">
        <w:tc>
          <w:tcPr>
            <w:tcW w:w="4395" w:type="dxa"/>
            <w:tcBorders>
              <w:top w:val="nil"/>
              <w:left w:val="nil"/>
              <w:bottom w:val="nil"/>
              <w:right w:val="nil"/>
            </w:tcBorders>
            <w:shd w:val="clear" w:color="auto" w:fill="auto"/>
          </w:tcPr>
          <w:p w:rsidR="00974DED" w:rsidRPr="00B83183" w:rsidRDefault="00974DED" w:rsidP="00974DED">
            <w:pPr>
              <w:spacing w:before="40" w:after="40"/>
              <w:rPr>
                <w:rFonts w:cs="Arial"/>
              </w:rPr>
            </w:pPr>
            <w:proofErr w:type="spellStart"/>
            <w:r w:rsidRPr="00B83183">
              <w:rPr>
                <w:rFonts w:cs="Arial"/>
                <w:sz w:val="22"/>
                <w:szCs w:val="22"/>
              </w:rPr>
              <w:t>Reablement</w:t>
            </w:r>
            <w:proofErr w:type="spellEnd"/>
          </w:p>
        </w:tc>
        <w:tc>
          <w:tcPr>
            <w:tcW w:w="2835" w:type="dxa"/>
            <w:tcBorders>
              <w:top w:val="nil"/>
              <w:left w:val="nil"/>
              <w:bottom w:val="nil"/>
              <w:right w:val="nil"/>
            </w:tcBorders>
            <w:shd w:val="clear" w:color="auto" w:fill="auto"/>
          </w:tcPr>
          <w:p w:rsidR="00974DED" w:rsidRPr="00B83183" w:rsidRDefault="00974DED" w:rsidP="00974DED">
            <w:pPr>
              <w:spacing w:before="40" w:after="40"/>
              <w:rPr>
                <w:rFonts w:cs="Arial"/>
              </w:rPr>
            </w:pPr>
            <w:r w:rsidRPr="00B83183">
              <w:rPr>
                <w:rFonts w:cs="Arial"/>
                <w:sz w:val="22"/>
                <w:szCs w:val="22"/>
              </w:rPr>
              <w:t>RACE-based review</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7715D9" w:rsidRPr="00B83183" w:rsidTr="00275CF2">
        <w:tc>
          <w:tcPr>
            <w:tcW w:w="4395" w:type="dxa"/>
            <w:tcBorders>
              <w:top w:val="nil"/>
              <w:left w:val="nil"/>
              <w:bottom w:val="nil"/>
              <w:right w:val="nil"/>
            </w:tcBorders>
            <w:shd w:val="clear" w:color="auto" w:fill="auto"/>
            <w:hideMark/>
          </w:tcPr>
          <w:p w:rsidR="007715D9" w:rsidRPr="00B83183" w:rsidRDefault="007715D9" w:rsidP="007715D9">
            <w:pPr>
              <w:spacing w:before="40" w:after="40"/>
              <w:rPr>
                <w:rFonts w:cs="Arial"/>
              </w:rPr>
            </w:pPr>
            <w:r w:rsidRPr="00B83183">
              <w:rPr>
                <w:rFonts w:cs="Arial"/>
                <w:sz w:val="22"/>
                <w:szCs w:val="22"/>
              </w:rPr>
              <w:t>Social care supervision</w:t>
            </w:r>
          </w:p>
        </w:tc>
        <w:tc>
          <w:tcPr>
            <w:tcW w:w="2835" w:type="dxa"/>
            <w:tcBorders>
              <w:top w:val="nil"/>
              <w:left w:val="nil"/>
              <w:bottom w:val="nil"/>
              <w:right w:val="nil"/>
            </w:tcBorders>
            <w:shd w:val="clear" w:color="auto" w:fill="auto"/>
            <w:hideMark/>
          </w:tcPr>
          <w:p w:rsidR="007715D9" w:rsidRPr="00B83183" w:rsidRDefault="007715D9" w:rsidP="007715D9">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7715D9" w:rsidRPr="00B83183" w:rsidRDefault="007715D9" w:rsidP="007715D9">
            <w:pPr>
              <w:spacing w:before="40" w:after="40"/>
              <w:rPr>
                <w:rFonts w:cs="Arial"/>
              </w:rPr>
            </w:pPr>
            <w:r w:rsidRPr="00B83183">
              <w:rPr>
                <w:rFonts w:cs="Arial"/>
                <w:sz w:val="22"/>
                <w:szCs w:val="22"/>
              </w:rPr>
              <w:t>Moderate</w:t>
            </w:r>
          </w:p>
        </w:tc>
        <w:tc>
          <w:tcPr>
            <w:tcW w:w="709" w:type="dxa"/>
            <w:tcBorders>
              <w:top w:val="nil"/>
              <w:left w:val="nil"/>
              <w:bottom w:val="nil"/>
              <w:right w:val="nil"/>
            </w:tcBorders>
            <w:shd w:val="clear" w:color="auto" w:fill="auto"/>
          </w:tcPr>
          <w:p w:rsidR="007715D9" w:rsidRPr="00B83183" w:rsidRDefault="007715D9" w:rsidP="007715D9">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7715D9" w:rsidRPr="00B83183" w:rsidRDefault="007715D9" w:rsidP="007715D9">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7715D9" w:rsidRPr="00B83183" w:rsidRDefault="007715D9" w:rsidP="007715D9">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auto" w:fill="auto"/>
          </w:tcPr>
          <w:p w:rsidR="00974DED" w:rsidRPr="00B83183" w:rsidRDefault="00974DED" w:rsidP="00974DED">
            <w:pPr>
              <w:spacing w:before="40" w:after="40"/>
              <w:rPr>
                <w:rFonts w:cs="Arial"/>
              </w:rPr>
            </w:pPr>
            <w:r w:rsidRPr="00B83183">
              <w:rPr>
                <w:rFonts w:cs="Arial"/>
                <w:sz w:val="22"/>
                <w:szCs w:val="22"/>
              </w:rPr>
              <w:t>Support planning</w:t>
            </w:r>
          </w:p>
        </w:tc>
        <w:tc>
          <w:tcPr>
            <w:tcW w:w="2835" w:type="dxa"/>
            <w:tcBorders>
              <w:top w:val="nil"/>
              <w:left w:val="nil"/>
              <w:bottom w:val="nil"/>
              <w:right w:val="nil"/>
            </w:tcBorders>
            <w:shd w:val="clear" w:color="auto" w:fill="auto"/>
          </w:tcPr>
          <w:p w:rsidR="00974DED" w:rsidRPr="00B83183" w:rsidRDefault="00974DED" w:rsidP="00974DED">
            <w:pPr>
              <w:spacing w:before="40" w:after="40"/>
              <w:rPr>
                <w:rFonts w:cs="Arial"/>
              </w:rPr>
            </w:pPr>
            <w:r w:rsidRPr="00B83183">
              <w:rPr>
                <w:rFonts w:cs="Arial"/>
                <w:sz w:val="22"/>
                <w:szCs w:val="22"/>
              </w:rPr>
              <w:t>RACE-based review</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000000" w:fill="F2F2F2"/>
            <w:hideMark/>
          </w:tcPr>
          <w:p w:rsidR="00974DED" w:rsidRPr="00B83183" w:rsidRDefault="00974DED" w:rsidP="00974DED">
            <w:pPr>
              <w:spacing w:before="40" w:after="40"/>
              <w:rPr>
                <w:rFonts w:cs="Arial"/>
                <w:b/>
              </w:rPr>
            </w:pPr>
            <w:r w:rsidRPr="00B83183">
              <w:rPr>
                <w:rFonts w:cs="Arial"/>
                <w:b/>
                <w:sz w:val="22"/>
                <w:szCs w:val="22"/>
              </w:rPr>
              <w:t>Public Health</w:t>
            </w:r>
          </w:p>
        </w:tc>
        <w:tc>
          <w:tcPr>
            <w:tcW w:w="2835" w:type="dxa"/>
            <w:tcBorders>
              <w:top w:val="nil"/>
              <w:left w:val="nil"/>
              <w:bottom w:val="nil"/>
              <w:right w:val="nil"/>
            </w:tcBorders>
            <w:shd w:val="clear" w:color="000000" w:fill="F2F2F2"/>
            <w:hideMark/>
          </w:tcPr>
          <w:p w:rsidR="00974DED" w:rsidRPr="00B83183" w:rsidRDefault="00974DED" w:rsidP="00974DED">
            <w:pPr>
              <w:spacing w:before="40" w:after="40"/>
              <w:rPr>
                <w:rFonts w:cs="Arial"/>
              </w:rPr>
            </w:pPr>
            <w:r w:rsidRPr="00B83183">
              <w:rPr>
                <w:rFonts w:cs="Arial"/>
                <w:sz w:val="22"/>
                <w:szCs w:val="22"/>
              </w:rPr>
              <w:t> </w:t>
            </w:r>
          </w:p>
        </w:tc>
        <w:tc>
          <w:tcPr>
            <w:tcW w:w="2409"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c>
          <w:tcPr>
            <w:tcW w:w="709"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1276"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2410"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Scheme of delegation</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RACE-based review</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000000" w:fill="F2F2F2"/>
            <w:hideMark/>
          </w:tcPr>
          <w:p w:rsidR="00974DED" w:rsidRPr="00B83183" w:rsidRDefault="00974DED" w:rsidP="00974DED">
            <w:pPr>
              <w:spacing w:before="40" w:after="40"/>
              <w:rPr>
                <w:rFonts w:cs="Arial"/>
                <w:b/>
              </w:rPr>
            </w:pPr>
            <w:r w:rsidRPr="00B83183">
              <w:rPr>
                <w:rFonts w:cs="Arial"/>
                <w:b/>
                <w:sz w:val="22"/>
                <w:szCs w:val="22"/>
              </w:rPr>
              <w:lastRenderedPageBreak/>
              <w:t>C</w:t>
            </w:r>
            <w:r w:rsidR="008C3F7A">
              <w:rPr>
                <w:rFonts w:cs="Arial"/>
                <w:b/>
                <w:sz w:val="22"/>
                <w:szCs w:val="22"/>
              </w:rPr>
              <w:t xml:space="preserve">hildren and </w:t>
            </w:r>
            <w:r w:rsidRPr="00B83183">
              <w:rPr>
                <w:rFonts w:cs="Arial"/>
                <w:b/>
                <w:sz w:val="22"/>
                <w:szCs w:val="22"/>
              </w:rPr>
              <w:t>Y</w:t>
            </w:r>
            <w:r w:rsidR="008C3F7A">
              <w:rPr>
                <w:rFonts w:cs="Arial"/>
                <w:b/>
                <w:sz w:val="22"/>
                <w:szCs w:val="22"/>
              </w:rPr>
              <w:t xml:space="preserve">oung </w:t>
            </w:r>
            <w:r w:rsidRPr="00B83183">
              <w:rPr>
                <w:rFonts w:cs="Arial"/>
                <w:b/>
                <w:sz w:val="22"/>
                <w:szCs w:val="22"/>
              </w:rPr>
              <w:t>P</w:t>
            </w:r>
            <w:r w:rsidR="008C3F7A">
              <w:rPr>
                <w:rFonts w:cs="Arial"/>
                <w:b/>
                <w:sz w:val="22"/>
                <w:szCs w:val="22"/>
              </w:rPr>
              <w:t>eople</w:t>
            </w:r>
          </w:p>
        </w:tc>
        <w:tc>
          <w:tcPr>
            <w:tcW w:w="2835" w:type="dxa"/>
            <w:tcBorders>
              <w:top w:val="nil"/>
              <w:left w:val="nil"/>
              <w:bottom w:val="nil"/>
              <w:right w:val="nil"/>
            </w:tcBorders>
            <w:shd w:val="clear" w:color="000000" w:fill="F2F2F2"/>
            <w:hideMark/>
          </w:tcPr>
          <w:p w:rsidR="00974DED" w:rsidRPr="00B83183" w:rsidRDefault="00974DED" w:rsidP="00974DED">
            <w:pPr>
              <w:spacing w:before="40" w:after="40"/>
              <w:rPr>
                <w:rFonts w:cs="Arial"/>
              </w:rPr>
            </w:pPr>
            <w:r w:rsidRPr="00B83183">
              <w:rPr>
                <w:rFonts w:cs="Arial"/>
                <w:sz w:val="22"/>
                <w:szCs w:val="22"/>
              </w:rPr>
              <w:t> </w:t>
            </w:r>
          </w:p>
        </w:tc>
        <w:tc>
          <w:tcPr>
            <w:tcW w:w="2409"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c>
          <w:tcPr>
            <w:tcW w:w="709"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1276"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2410"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Case file audit process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B74B10">
            <w:pPr>
              <w:spacing w:before="40" w:after="40"/>
              <w:rPr>
                <w:rFonts w:cs="Arial"/>
              </w:rPr>
            </w:pPr>
            <w:r w:rsidRPr="00B83183">
              <w:rPr>
                <w:rFonts w:cs="Arial"/>
                <w:sz w:val="22"/>
                <w:szCs w:val="22"/>
              </w:rPr>
              <w:t xml:space="preserve">Substantial </w:t>
            </w:r>
            <w:r>
              <w:rPr>
                <w:rFonts w:cs="Arial"/>
                <w:sz w:val="22"/>
                <w:szCs w:val="22"/>
              </w:rPr>
              <w:t>– action</w:t>
            </w:r>
            <w:r w:rsidR="00B74B10">
              <w:rPr>
                <w:rFonts w:cs="Arial"/>
                <w:sz w:val="22"/>
                <w:szCs w:val="22"/>
              </w:rPr>
              <w:t>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Direct payments to children with disabilities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High</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t>x</w:t>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Emergency payments to families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t>x</w:t>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r>
      <w:tr w:rsidR="005D0776" w:rsidRPr="005D0776" w:rsidTr="00914620">
        <w:tc>
          <w:tcPr>
            <w:tcW w:w="4395" w:type="dxa"/>
            <w:tcBorders>
              <w:top w:val="nil"/>
              <w:left w:val="nil"/>
              <w:bottom w:val="nil"/>
              <w:right w:val="nil"/>
            </w:tcBorders>
            <w:shd w:val="clear" w:color="auto" w:fill="auto"/>
            <w:hideMark/>
          </w:tcPr>
          <w:p w:rsidR="00DE01DA" w:rsidRPr="005D0776" w:rsidRDefault="00DE01DA" w:rsidP="00914620">
            <w:pPr>
              <w:spacing w:before="40" w:after="40"/>
              <w:rPr>
                <w:rFonts w:cs="Arial"/>
              </w:rPr>
            </w:pPr>
            <w:r w:rsidRPr="005D0776">
              <w:rPr>
                <w:rFonts w:cs="Arial"/>
                <w:sz w:val="22"/>
                <w:szCs w:val="22"/>
              </w:rPr>
              <w:t>Partnership working with the NHS to support children with mental health needs</w:t>
            </w:r>
          </w:p>
        </w:tc>
        <w:tc>
          <w:tcPr>
            <w:tcW w:w="2835" w:type="dxa"/>
            <w:tcBorders>
              <w:top w:val="nil"/>
              <w:left w:val="nil"/>
              <w:bottom w:val="nil"/>
              <w:right w:val="nil"/>
            </w:tcBorders>
            <w:shd w:val="clear" w:color="auto" w:fill="auto"/>
            <w:hideMark/>
          </w:tcPr>
          <w:p w:rsidR="00DE01DA" w:rsidRPr="005D0776" w:rsidRDefault="00DE01DA" w:rsidP="00914620">
            <w:pPr>
              <w:spacing w:before="40" w:after="40"/>
              <w:rPr>
                <w:rFonts w:cs="Arial"/>
              </w:rPr>
            </w:pPr>
            <w:r w:rsidRPr="005D0776">
              <w:rPr>
                <w:rFonts w:cs="Arial"/>
                <w:sz w:val="22"/>
                <w:szCs w:val="22"/>
              </w:rPr>
              <w:t>Review of remedial action</w:t>
            </w:r>
          </w:p>
        </w:tc>
        <w:tc>
          <w:tcPr>
            <w:tcW w:w="2409" w:type="dxa"/>
            <w:tcBorders>
              <w:top w:val="nil"/>
              <w:left w:val="nil"/>
              <w:bottom w:val="nil"/>
              <w:right w:val="nil"/>
            </w:tcBorders>
          </w:tcPr>
          <w:p w:rsidR="00DE01DA" w:rsidRPr="005D0776" w:rsidRDefault="00DE01DA" w:rsidP="00914620">
            <w:pPr>
              <w:spacing w:before="40" w:after="40"/>
              <w:rPr>
                <w:rFonts w:cs="Arial"/>
              </w:rPr>
            </w:pPr>
            <w:r w:rsidRPr="005D0776">
              <w:rPr>
                <w:rFonts w:cs="Arial"/>
                <w:sz w:val="22"/>
                <w:szCs w:val="22"/>
              </w:rPr>
              <w:t>Moderate</w:t>
            </w:r>
          </w:p>
        </w:tc>
        <w:tc>
          <w:tcPr>
            <w:tcW w:w="709" w:type="dxa"/>
            <w:tcBorders>
              <w:top w:val="nil"/>
              <w:left w:val="nil"/>
              <w:bottom w:val="nil"/>
              <w:right w:val="nil"/>
            </w:tcBorders>
            <w:shd w:val="clear" w:color="auto" w:fill="auto"/>
          </w:tcPr>
          <w:p w:rsidR="00DE01DA" w:rsidRPr="005D0776" w:rsidRDefault="00DE01DA" w:rsidP="00914620">
            <w:pPr>
              <w:spacing w:before="40" w:after="40"/>
              <w:jc w:val="center"/>
              <w:rPr>
                <w:rFonts w:cs="Arial"/>
              </w:rPr>
            </w:pPr>
            <w:r w:rsidRPr="005D0776">
              <w:rPr>
                <w:rFonts w:cs="Arial"/>
                <w:sz w:val="22"/>
                <w:szCs w:val="22"/>
              </w:rPr>
              <w:sym w:font="Wingdings" w:char="F0FC"/>
            </w:r>
          </w:p>
        </w:tc>
        <w:tc>
          <w:tcPr>
            <w:tcW w:w="1276" w:type="dxa"/>
            <w:tcBorders>
              <w:top w:val="nil"/>
              <w:left w:val="nil"/>
              <w:bottom w:val="nil"/>
              <w:right w:val="nil"/>
            </w:tcBorders>
          </w:tcPr>
          <w:p w:rsidR="00DE01DA" w:rsidRPr="005D0776" w:rsidRDefault="00DE01DA" w:rsidP="00914620">
            <w:pPr>
              <w:spacing w:before="40" w:after="40"/>
              <w:jc w:val="center"/>
              <w:rPr>
                <w:rFonts w:cs="Arial"/>
              </w:rPr>
            </w:pPr>
            <w:r w:rsidRPr="005D0776">
              <w:rPr>
                <w:rFonts w:cs="Arial"/>
                <w:sz w:val="22"/>
                <w:szCs w:val="22"/>
              </w:rPr>
              <w:t>x</w:t>
            </w:r>
          </w:p>
        </w:tc>
        <w:tc>
          <w:tcPr>
            <w:tcW w:w="2410" w:type="dxa"/>
            <w:tcBorders>
              <w:top w:val="nil"/>
              <w:left w:val="nil"/>
              <w:bottom w:val="nil"/>
              <w:right w:val="nil"/>
            </w:tcBorders>
          </w:tcPr>
          <w:p w:rsidR="00DE01DA" w:rsidRPr="005D0776" w:rsidRDefault="005D0776" w:rsidP="00914620">
            <w:pPr>
              <w:spacing w:before="40" w:after="40"/>
              <w:rPr>
                <w:rFonts w:cs="Arial"/>
              </w:rPr>
            </w:pPr>
            <w:r w:rsidRPr="005D0776">
              <w:rPr>
                <w:rFonts w:cs="Arial"/>
                <w:sz w:val="22"/>
                <w:szCs w:val="22"/>
              </w:rPr>
              <w:t>Not applicable</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Independent Reviewing Officers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F4534D" w:rsidRDefault="00974DED" w:rsidP="00974DED">
            <w:pPr>
              <w:spacing w:before="40" w:after="40"/>
              <w:jc w:val="center"/>
              <w:rPr>
                <w:rFonts w:cs="Arial"/>
              </w:rPr>
            </w:pPr>
            <w:r w:rsidRPr="00F4534D">
              <w:rPr>
                <w:rFonts w:cs="Arial"/>
                <w:sz w:val="22"/>
                <w:szCs w:val="22"/>
              </w:rPr>
              <w:sym w:font="Wingdings" w:char="F0FC"/>
            </w:r>
          </w:p>
        </w:tc>
        <w:tc>
          <w:tcPr>
            <w:tcW w:w="2410" w:type="dxa"/>
            <w:tcBorders>
              <w:top w:val="nil"/>
              <w:left w:val="nil"/>
              <w:bottom w:val="nil"/>
              <w:right w:val="nil"/>
            </w:tcBorders>
          </w:tcPr>
          <w:p w:rsidR="00974DED" w:rsidRPr="00B83183" w:rsidRDefault="00974DED" w:rsidP="00B74B10">
            <w:pPr>
              <w:spacing w:before="40" w:after="40"/>
              <w:rPr>
                <w:rFonts w:cs="Arial"/>
                <w:color w:val="FF0000"/>
              </w:rPr>
            </w:pPr>
            <w:r w:rsidRPr="00F4534D">
              <w:rPr>
                <w:rFonts w:cs="Arial"/>
                <w:sz w:val="22"/>
                <w:szCs w:val="22"/>
              </w:rPr>
              <w:t xml:space="preserve">Substantial </w:t>
            </w:r>
            <w:r>
              <w:rPr>
                <w:rFonts w:cs="Arial"/>
                <w:sz w:val="22"/>
                <w:szCs w:val="22"/>
              </w:rPr>
              <w:t>– action</w:t>
            </w:r>
            <w:r w:rsidR="00B74B10">
              <w:rPr>
                <w:rFonts w:cs="Arial"/>
                <w:sz w:val="22"/>
                <w:szCs w:val="22"/>
              </w:rPr>
              <w:t>s</w:t>
            </w:r>
          </w:p>
        </w:tc>
      </w:tr>
      <w:tr w:rsidR="00974DED" w:rsidRPr="00B83183" w:rsidTr="00275CF2">
        <w:tc>
          <w:tcPr>
            <w:tcW w:w="4395" w:type="dxa"/>
            <w:tcBorders>
              <w:top w:val="nil"/>
              <w:left w:val="nil"/>
              <w:bottom w:val="nil"/>
              <w:right w:val="nil"/>
            </w:tcBorders>
            <w:shd w:val="clear" w:color="auto" w:fill="auto"/>
          </w:tcPr>
          <w:p w:rsidR="00974DED" w:rsidRPr="00B83183" w:rsidRDefault="00974DED" w:rsidP="00974DED">
            <w:pPr>
              <w:spacing w:before="40" w:after="40"/>
              <w:rPr>
                <w:rFonts w:cs="Arial"/>
              </w:rPr>
            </w:pPr>
            <w:r w:rsidRPr="00B83183">
              <w:rPr>
                <w:rFonts w:cs="Arial"/>
                <w:sz w:val="22"/>
                <w:szCs w:val="22"/>
              </w:rPr>
              <w:t>Due diligence over the transfer of children's centres from the NHS</w:t>
            </w:r>
          </w:p>
        </w:tc>
        <w:tc>
          <w:tcPr>
            <w:tcW w:w="2835" w:type="dxa"/>
            <w:tcBorders>
              <w:top w:val="nil"/>
              <w:left w:val="nil"/>
              <w:bottom w:val="nil"/>
              <w:right w:val="nil"/>
            </w:tcBorders>
            <w:shd w:val="clear" w:color="auto" w:fill="auto"/>
          </w:tcPr>
          <w:p w:rsidR="00974DED" w:rsidRPr="00B83183" w:rsidRDefault="00974DED" w:rsidP="00974DED">
            <w:pPr>
              <w:spacing w:before="40" w:after="40"/>
              <w:rPr>
                <w:rFonts w:cs="Arial"/>
              </w:rPr>
            </w:pPr>
            <w:r w:rsidRPr="00B83183">
              <w:rPr>
                <w:rFonts w:cs="Arial"/>
                <w:sz w:val="22"/>
                <w:szCs w:val="22"/>
              </w:rPr>
              <w:t>Work at the request of management</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B74B10">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control</w:t>
            </w:r>
            <w:r w:rsidR="00B74B10">
              <w:rPr>
                <w:rFonts w:cs="Arial"/>
                <w:sz w:val="22"/>
                <w:szCs w:val="22"/>
              </w:rPr>
              <w:t>s</w:t>
            </w:r>
          </w:p>
        </w:tc>
      </w:tr>
      <w:tr w:rsidR="00974DED" w:rsidRPr="00B83183" w:rsidTr="00275CF2">
        <w:tc>
          <w:tcPr>
            <w:tcW w:w="4395" w:type="dxa"/>
            <w:tcBorders>
              <w:top w:val="nil"/>
              <w:left w:val="nil"/>
              <w:bottom w:val="nil"/>
              <w:right w:val="nil"/>
            </w:tcBorders>
            <w:shd w:val="clear" w:color="auto" w:fill="auto"/>
          </w:tcPr>
          <w:p w:rsidR="00974DED" w:rsidRPr="00B83183" w:rsidRDefault="00974DED" w:rsidP="00974DED">
            <w:pPr>
              <w:spacing w:before="40" w:after="40"/>
              <w:rPr>
                <w:rFonts w:cs="Arial"/>
              </w:rPr>
            </w:pPr>
            <w:r w:rsidRPr="00B83183">
              <w:rPr>
                <w:rFonts w:cs="Arial"/>
                <w:sz w:val="22"/>
                <w:szCs w:val="22"/>
              </w:rPr>
              <w:t xml:space="preserve">Residential homes </w:t>
            </w:r>
          </w:p>
        </w:tc>
        <w:tc>
          <w:tcPr>
            <w:tcW w:w="2835" w:type="dxa"/>
            <w:tcBorders>
              <w:top w:val="nil"/>
              <w:left w:val="nil"/>
              <w:bottom w:val="nil"/>
              <w:right w:val="nil"/>
            </w:tcBorders>
            <w:shd w:val="clear" w:color="auto" w:fill="auto"/>
          </w:tcPr>
          <w:p w:rsidR="00974DED" w:rsidRPr="00B83183" w:rsidRDefault="00974DED" w:rsidP="00974DED">
            <w:pPr>
              <w:spacing w:before="40" w:after="40"/>
              <w:rPr>
                <w:rFonts w:cs="Arial"/>
              </w:rPr>
            </w:pPr>
            <w:r w:rsidRPr="00B83183">
              <w:rPr>
                <w:rFonts w:cs="Arial"/>
                <w:sz w:val="22"/>
                <w:szCs w:val="22"/>
              </w:rPr>
              <w:t>Follow-up of agreed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275CF2" w:rsidRDefault="00974DED" w:rsidP="00B74B10">
            <w:pPr>
              <w:spacing w:before="40" w:after="40"/>
              <w:rPr>
                <w:rFonts w:cs="Arial"/>
              </w:rPr>
            </w:pPr>
            <w:r w:rsidRPr="00275CF2">
              <w:rPr>
                <w:rFonts w:cs="Arial"/>
                <w:sz w:val="22"/>
                <w:szCs w:val="22"/>
              </w:rPr>
              <w:t>Substantial – action</w:t>
            </w:r>
            <w:r w:rsidR="00B74B10" w:rsidRPr="00275CF2">
              <w:rPr>
                <w:rFonts w:cs="Arial"/>
                <w:sz w:val="22"/>
                <w:szCs w:val="22"/>
              </w:rPr>
              <w:t>s</w:t>
            </w:r>
          </w:p>
        </w:tc>
      </w:tr>
      <w:tr w:rsidR="005D0776" w:rsidRPr="005D0776" w:rsidTr="00275CF2">
        <w:tc>
          <w:tcPr>
            <w:tcW w:w="4395" w:type="dxa"/>
            <w:tcBorders>
              <w:top w:val="nil"/>
              <w:left w:val="nil"/>
              <w:bottom w:val="nil"/>
              <w:right w:val="nil"/>
            </w:tcBorders>
            <w:shd w:val="clear" w:color="auto" w:fill="auto"/>
            <w:hideMark/>
          </w:tcPr>
          <w:p w:rsidR="00974DED" w:rsidRPr="005D0776" w:rsidRDefault="00974DED" w:rsidP="00974DED">
            <w:pPr>
              <w:spacing w:before="40" w:after="40"/>
              <w:rPr>
                <w:rFonts w:cs="Arial"/>
              </w:rPr>
            </w:pPr>
            <w:r w:rsidRPr="005D0776">
              <w:rPr>
                <w:rFonts w:cs="Arial"/>
                <w:sz w:val="22"/>
                <w:szCs w:val="22"/>
              </w:rPr>
              <w:t>Working Together with Troubled Families</w:t>
            </w:r>
          </w:p>
        </w:tc>
        <w:tc>
          <w:tcPr>
            <w:tcW w:w="2835" w:type="dxa"/>
            <w:tcBorders>
              <w:top w:val="nil"/>
              <w:left w:val="nil"/>
              <w:bottom w:val="nil"/>
              <w:right w:val="nil"/>
            </w:tcBorders>
            <w:shd w:val="clear" w:color="auto" w:fill="auto"/>
            <w:hideMark/>
          </w:tcPr>
          <w:p w:rsidR="00974DED" w:rsidRPr="005D0776" w:rsidRDefault="00974DED" w:rsidP="00974DED">
            <w:pPr>
              <w:spacing w:before="40" w:after="40"/>
              <w:rPr>
                <w:rFonts w:cs="Arial"/>
              </w:rPr>
            </w:pPr>
            <w:r w:rsidRPr="005D0776">
              <w:rPr>
                <w:rFonts w:cs="Arial"/>
                <w:sz w:val="22"/>
                <w:szCs w:val="22"/>
              </w:rPr>
              <w:t xml:space="preserve">Follow-up of agreed action </w:t>
            </w:r>
          </w:p>
        </w:tc>
        <w:tc>
          <w:tcPr>
            <w:tcW w:w="2409" w:type="dxa"/>
            <w:tcBorders>
              <w:top w:val="nil"/>
              <w:left w:val="nil"/>
              <w:bottom w:val="nil"/>
              <w:right w:val="nil"/>
            </w:tcBorders>
          </w:tcPr>
          <w:p w:rsidR="00974DED" w:rsidRPr="005D0776" w:rsidRDefault="00974DED" w:rsidP="00974DED">
            <w:pPr>
              <w:spacing w:before="40" w:after="40"/>
              <w:rPr>
                <w:rFonts w:cs="Arial"/>
              </w:rPr>
            </w:pPr>
            <w:r w:rsidRPr="005D0776">
              <w:rPr>
                <w:rFonts w:cs="Arial"/>
                <w:sz w:val="22"/>
                <w:szCs w:val="22"/>
              </w:rPr>
              <w:t>Moderate</w:t>
            </w:r>
          </w:p>
        </w:tc>
        <w:tc>
          <w:tcPr>
            <w:tcW w:w="709" w:type="dxa"/>
            <w:tcBorders>
              <w:top w:val="nil"/>
              <w:left w:val="nil"/>
              <w:bottom w:val="nil"/>
              <w:right w:val="nil"/>
            </w:tcBorders>
          </w:tcPr>
          <w:p w:rsidR="00974DED" w:rsidRPr="005D0776" w:rsidRDefault="00974DED" w:rsidP="00974DED">
            <w:pPr>
              <w:spacing w:before="40" w:after="40"/>
              <w:jc w:val="center"/>
              <w:rPr>
                <w:rFonts w:cs="Arial"/>
              </w:rPr>
            </w:pPr>
            <w:r w:rsidRPr="005D0776">
              <w:rPr>
                <w:rFonts w:cs="Arial"/>
                <w:sz w:val="22"/>
                <w:szCs w:val="22"/>
              </w:rPr>
              <w:sym w:font="Wingdings" w:char="F0FC"/>
            </w:r>
          </w:p>
        </w:tc>
        <w:tc>
          <w:tcPr>
            <w:tcW w:w="1276" w:type="dxa"/>
            <w:tcBorders>
              <w:top w:val="nil"/>
              <w:left w:val="nil"/>
              <w:bottom w:val="nil"/>
              <w:right w:val="nil"/>
            </w:tcBorders>
          </w:tcPr>
          <w:p w:rsidR="00974DED" w:rsidRPr="005D0776" w:rsidRDefault="00974DED" w:rsidP="00974DED">
            <w:pPr>
              <w:spacing w:before="40" w:after="40"/>
              <w:jc w:val="center"/>
              <w:rPr>
                <w:rFonts w:cs="Arial"/>
              </w:rPr>
            </w:pPr>
            <w:r w:rsidRPr="005D0776">
              <w:rPr>
                <w:rFonts w:cs="Arial"/>
                <w:sz w:val="22"/>
                <w:szCs w:val="22"/>
              </w:rPr>
              <w:sym w:font="Wingdings" w:char="F0FC"/>
            </w:r>
          </w:p>
        </w:tc>
        <w:tc>
          <w:tcPr>
            <w:tcW w:w="2410" w:type="dxa"/>
            <w:tcBorders>
              <w:top w:val="nil"/>
              <w:left w:val="nil"/>
              <w:bottom w:val="nil"/>
              <w:right w:val="nil"/>
            </w:tcBorders>
          </w:tcPr>
          <w:p w:rsidR="00974DED" w:rsidRPr="005D0776" w:rsidRDefault="009A7581" w:rsidP="00E60758">
            <w:pPr>
              <w:spacing w:before="40" w:after="40"/>
              <w:rPr>
                <w:rFonts w:cs="Arial"/>
              </w:rPr>
            </w:pPr>
            <w:r w:rsidRPr="005D0776">
              <w:rPr>
                <w:rFonts w:cs="Arial"/>
                <w:sz w:val="22"/>
                <w:szCs w:val="22"/>
              </w:rPr>
              <w:t>Substantial</w:t>
            </w:r>
            <w:r w:rsidR="00974DED" w:rsidRPr="005D0776">
              <w:rPr>
                <w:rFonts w:cs="Arial"/>
                <w:sz w:val="22"/>
                <w:szCs w:val="22"/>
              </w:rPr>
              <w:t xml:space="preserve"> – action</w:t>
            </w:r>
            <w:r w:rsidR="00B74B10" w:rsidRPr="005D0776">
              <w:rPr>
                <w:rFonts w:cs="Arial"/>
                <w:sz w:val="22"/>
                <w:szCs w:val="22"/>
              </w:rPr>
              <w:t>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Working Together with Troubled Families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Grant certification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Pr>
                <w:rFonts w:cs="Arial"/>
                <w:sz w:val="22"/>
                <w:szCs w:val="22"/>
              </w:rPr>
              <w:t>Not applicable</w:t>
            </w:r>
          </w:p>
        </w:tc>
      </w:tr>
      <w:tr w:rsidR="00974DED" w:rsidRPr="00B83183" w:rsidTr="00275CF2">
        <w:tc>
          <w:tcPr>
            <w:tcW w:w="4395" w:type="dxa"/>
            <w:tcBorders>
              <w:top w:val="nil"/>
              <w:left w:val="nil"/>
              <w:bottom w:val="nil"/>
              <w:right w:val="nil"/>
            </w:tcBorders>
            <w:shd w:val="clear" w:color="000000" w:fill="F2F2F2"/>
            <w:hideMark/>
          </w:tcPr>
          <w:p w:rsidR="00974DED" w:rsidRPr="00B83183" w:rsidRDefault="00974DED" w:rsidP="00974DED">
            <w:pPr>
              <w:spacing w:before="40" w:after="40"/>
              <w:rPr>
                <w:rFonts w:cs="Arial"/>
                <w:b/>
              </w:rPr>
            </w:pPr>
            <w:r w:rsidRPr="00B83183">
              <w:rPr>
                <w:rFonts w:cs="Arial"/>
                <w:b/>
                <w:sz w:val="22"/>
                <w:szCs w:val="22"/>
              </w:rPr>
              <w:t>Schools and sixth forms</w:t>
            </w:r>
          </w:p>
        </w:tc>
        <w:tc>
          <w:tcPr>
            <w:tcW w:w="2835" w:type="dxa"/>
            <w:tcBorders>
              <w:top w:val="nil"/>
              <w:left w:val="nil"/>
              <w:bottom w:val="nil"/>
              <w:right w:val="nil"/>
            </w:tcBorders>
            <w:shd w:val="clear" w:color="000000" w:fill="F2F2F2"/>
            <w:hideMark/>
          </w:tcPr>
          <w:p w:rsidR="00974DED" w:rsidRPr="00B83183" w:rsidRDefault="00974DED" w:rsidP="00974DED">
            <w:pPr>
              <w:spacing w:before="40" w:after="40"/>
              <w:rPr>
                <w:rFonts w:cs="Arial"/>
              </w:rPr>
            </w:pPr>
            <w:r w:rsidRPr="00B83183">
              <w:rPr>
                <w:rFonts w:cs="Arial"/>
                <w:sz w:val="22"/>
                <w:szCs w:val="22"/>
              </w:rPr>
              <w:t> </w:t>
            </w:r>
          </w:p>
        </w:tc>
        <w:tc>
          <w:tcPr>
            <w:tcW w:w="2409"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c>
          <w:tcPr>
            <w:tcW w:w="709"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1276"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2410"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School reviews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Reviews of financial controls in schools</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vMerge w:val="restart"/>
            <w:tcBorders>
              <w:top w:val="nil"/>
              <w:left w:val="nil"/>
              <w:right w:val="nil"/>
            </w:tcBorders>
          </w:tcPr>
          <w:p w:rsidR="00974DED" w:rsidRPr="00B83183" w:rsidRDefault="00974DED" w:rsidP="00E60758">
            <w:pPr>
              <w:spacing w:before="40" w:after="40"/>
              <w:rPr>
                <w:rFonts w:cs="Arial"/>
              </w:rPr>
            </w:pPr>
            <w:r w:rsidRPr="00B83183">
              <w:rPr>
                <w:rFonts w:cs="Arial"/>
                <w:sz w:val="22"/>
                <w:szCs w:val="22"/>
              </w:rPr>
              <w:t xml:space="preserve">See </w:t>
            </w:r>
            <w:r w:rsidRPr="005D0776">
              <w:rPr>
                <w:rFonts w:cs="Arial"/>
                <w:sz w:val="22"/>
                <w:szCs w:val="22"/>
              </w:rPr>
              <w:t>table</w:t>
            </w:r>
            <w:r w:rsidR="00E60758" w:rsidRPr="005D0776">
              <w:rPr>
                <w:rFonts w:cs="Arial"/>
                <w:sz w:val="22"/>
                <w:szCs w:val="22"/>
              </w:rPr>
              <w:t xml:space="preserve"> in Appendix </w:t>
            </w:r>
            <w:r w:rsidR="005D0776" w:rsidRPr="005D0776">
              <w:rPr>
                <w:rFonts w:cs="Arial"/>
                <w:sz w:val="22"/>
                <w:szCs w:val="22"/>
              </w:rPr>
              <w:t>B</w:t>
            </w:r>
            <w:r w:rsidRPr="005D0776">
              <w:rPr>
                <w:rFonts w:cs="Arial"/>
                <w:sz w:val="22"/>
                <w:szCs w:val="22"/>
              </w:rPr>
              <w:t xml:space="preserve"> below for individual</w:t>
            </w:r>
            <w:r w:rsidRPr="00B83183">
              <w:rPr>
                <w:rFonts w:cs="Arial"/>
                <w:sz w:val="22"/>
                <w:szCs w:val="22"/>
              </w:rPr>
              <w:t xml:space="preserve"> schools' assurance</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Follow-up of school reviews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Follow-up of agreed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vMerge/>
            <w:tcBorders>
              <w:left w:val="nil"/>
              <w:bottom w:val="nil"/>
              <w:right w:val="nil"/>
            </w:tcBorders>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Schools with new bank accounts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RACE-based review</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Limited</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000000" w:fill="F2F2F2"/>
          </w:tcPr>
          <w:p w:rsidR="00974DED" w:rsidRPr="00B83183" w:rsidRDefault="00974DED" w:rsidP="00974DED">
            <w:pPr>
              <w:spacing w:before="40" w:after="40"/>
              <w:rPr>
                <w:rFonts w:cs="Arial"/>
                <w:b/>
                <w:bCs/>
              </w:rPr>
            </w:pPr>
            <w:r w:rsidRPr="00B83183">
              <w:rPr>
                <w:rFonts w:cs="Arial"/>
                <w:b/>
                <w:sz w:val="22"/>
                <w:szCs w:val="22"/>
              </w:rPr>
              <w:t>Environment</w:t>
            </w:r>
          </w:p>
        </w:tc>
        <w:tc>
          <w:tcPr>
            <w:tcW w:w="2835" w:type="dxa"/>
            <w:tcBorders>
              <w:top w:val="nil"/>
              <w:left w:val="nil"/>
              <w:bottom w:val="nil"/>
              <w:right w:val="nil"/>
            </w:tcBorders>
            <w:shd w:val="clear" w:color="000000" w:fill="F2F2F2"/>
            <w:hideMark/>
          </w:tcPr>
          <w:p w:rsidR="00974DED" w:rsidRPr="00B83183" w:rsidRDefault="00974DED" w:rsidP="00974DED">
            <w:pPr>
              <w:spacing w:before="40" w:after="40"/>
              <w:rPr>
                <w:rFonts w:cs="Arial"/>
              </w:rPr>
            </w:pPr>
            <w:r w:rsidRPr="00B83183">
              <w:rPr>
                <w:rFonts w:cs="Arial"/>
                <w:sz w:val="22"/>
                <w:szCs w:val="22"/>
              </w:rPr>
              <w:t> </w:t>
            </w:r>
          </w:p>
        </w:tc>
        <w:tc>
          <w:tcPr>
            <w:tcW w:w="2409"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c>
          <w:tcPr>
            <w:tcW w:w="709"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1276"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2410"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Capital programme management</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Review of remedial action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1276" w:type="dxa"/>
            <w:tcBorders>
              <w:top w:val="nil"/>
              <w:left w:val="nil"/>
              <w:bottom w:val="nil"/>
              <w:right w:val="nil"/>
            </w:tcBorders>
          </w:tcPr>
          <w:p w:rsidR="00974DED" w:rsidRPr="001664FC" w:rsidRDefault="004C10D3" w:rsidP="00974DED">
            <w:pPr>
              <w:spacing w:before="40" w:after="40"/>
              <w:jc w:val="center"/>
              <w:rPr>
                <w:rFonts w:cs="Arial"/>
              </w:rPr>
            </w:pPr>
            <w:r w:rsidRPr="001664FC">
              <w:rPr>
                <w:rFonts w:cs="Arial"/>
                <w:sz w:val="22"/>
                <w:szCs w:val="22"/>
              </w:rPr>
              <w:sym w:font="Wingdings" w:char="F0FC"/>
            </w:r>
          </w:p>
        </w:tc>
        <w:tc>
          <w:tcPr>
            <w:tcW w:w="2410" w:type="dxa"/>
            <w:tcBorders>
              <w:top w:val="nil"/>
              <w:left w:val="nil"/>
              <w:bottom w:val="nil"/>
              <w:right w:val="nil"/>
            </w:tcBorders>
          </w:tcPr>
          <w:p w:rsidR="00974DED" w:rsidRPr="00B83183" w:rsidRDefault="004C10D3" w:rsidP="00B74B10">
            <w:pPr>
              <w:spacing w:before="40" w:after="40"/>
              <w:rPr>
                <w:rFonts w:cs="Arial"/>
              </w:rPr>
            </w:pPr>
            <w:r>
              <w:rPr>
                <w:rFonts w:cs="Arial"/>
                <w:sz w:val="22"/>
                <w:szCs w:val="22"/>
              </w:rPr>
              <w:t>Substantial – action</w:t>
            </w:r>
            <w:r w:rsidR="00B74B10">
              <w:rPr>
                <w:rFonts w:cs="Arial"/>
                <w:sz w:val="22"/>
                <w:szCs w:val="22"/>
              </w:rPr>
              <w:t>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Capital programme management</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Compliance testing of capital cost codes</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p>
        </w:tc>
        <w:tc>
          <w:tcPr>
            <w:tcW w:w="709" w:type="dxa"/>
            <w:tcBorders>
              <w:top w:val="nil"/>
              <w:left w:val="nil"/>
              <w:bottom w:val="nil"/>
              <w:right w:val="nil"/>
            </w:tcBorders>
            <w:shd w:val="clear" w:color="auto" w:fill="auto"/>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4C10D3"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4C10D3"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Highways and property asset management project</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Support to the project</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t>On-going</w:t>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Procurement of Highways contractors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Re-review</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Moderate</w:t>
            </w:r>
            <w:r>
              <w:rPr>
                <w:rFonts w:cs="Arial"/>
                <w:sz w:val="22"/>
                <w:szCs w:val="22"/>
              </w:rPr>
              <w:t xml:space="preserve"> </w:t>
            </w:r>
            <w:r w:rsidRPr="00B83183">
              <w:rPr>
                <w:rFonts w:cs="Arial"/>
                <w:sz w:val="22"/>
                <w:szCs w:val="22"/>
              </w:rPr>
              <w:t>(with potential reputational and financial risks)</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Limited</w:t>
            </w:r>
            <w:r>
              <w:rPr>
                <w:rFonts w:cs="Arial"/>
                <w:sz w:val="22"/>
                <w:szCs w:val="22"/>
              </w:rPr>
              <w:t xml:space="preserve"> </w:t>
            </w:r>
            <w:r w:rsidRPr="00974DED">
              <w:rPr>
                <w:rFonts w:cs="Arial"/>
                <w:sz w:val="22"/>
                <w:szCs w:val="22"/>
              </w:rPr>
              <w:t xml:space="preserve">– </w:t>
            </w:r>
            <w:r>
              <w:rPr>
                <w:rFonts w:cs="Arial"/>
                <w:sz w:val="22"/>
                <w:szCs w:val="22"/>
              </w:rPr>
              <w:t>controls</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lastRenderedPageBreak/>
              <w:t>Grant audit: Citizens Rail</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Grant certification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Grant audit: CIVINET</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Grant certification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 xml:space="preserve">Grant audit: </w:t>
            </w:r>
            <w:proofErr w:type="spellStart"/>
            <w:r w:rsidRPr="00B83183">
              <w:rPr>
                <w:rFonts w:cs="Arial"/>
                <w:sz w:val="22"/>
                <w:szCs w:val="22"/>
              </w:rPr>
              <w:t>Interreg</w:t>
            </w:r>
            <w:proofErr w:type="spellEnd"/>
            <w:r w:rsidRPr="00B83183">
              <w:rPr>
                <w:rFonts w:cs="Arial"/>
                <w:sz w:val="22"/>
                <w:szCs w:val="22"/>
              </w:rPr>
              <w:t xml:space="preserve"> IVB </w:t>
            </w:r>
            <w:proofErr w:type="spellStart"/>
            <w:r w:rsidRPr="00B83183">
              <w:rPr>
                <w:rFonts w:cs="Arial"/>
                <w:sz w:val="22"/>
                <w:szCs w:val="22"/>
              </w:rPr>
              <w:t>SusStations</w:t>
            </w:r>
            <w:proofErr w:type="spellEnd"/>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Grant certification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Grant audit: Local Sustainable Transport</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Grant certification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Grant audit: Local Transport Capital</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Grant certification</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Not applicable</w:t>
            </w:r>
          </w:p>
        </w:tc>
      </w:tr>
      <w:tr w:rsidR="00974DED" w:rsidRPr="00B83183" w:rsidTr="00275CF2">
        <w:tc>
          <w:tcPr>
            <w:tcW w:w="7230" w:type="dxa"/>
            <w:gridSpan w:val="2"/>
            <w:tcBorders>
              <w:top w:val="nil"/>
              <w:left w:val="nil"/>
              <w:bottom w:val="nil"/>
              <w:right w:val="nil"/>
            </w:tcBorders>
            <w:shd w:val="clear" w:color="000000" w:fill="F2F2F2"/>
            <w:hideMark/>
          </w:tcPr>
          <w:p w:rsidR="00974DED" w:rsidRPr="00B83183" w:rsidRDefault="00974DED" w:rsidP="00974DED">
            <w:pPr>
              <w:spacing w:before="40" w:after="40"/>
              <w:rPr>
                <w:rFonts w:cs="Arial"/>
              </w:rPr>
            </w:pPr>
            <w:r w:rsidRPr="00B83183">
              <w:rPr>
                <w:rFonts w:cs="Arial"/>
                <w:b/>
                <w:bCs/>
                <w:sz w:val="22"/>
                <w:szCs w:val="22"/>
              </w:rPr>
              <w:t>Lancashire County Commercial Group</w:t>
            </w:r>
          </w:p>
        </w:tc>
        <w:tc>
          <w:tcPr>
            <w:tcW w:w="2409"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c>
          <w:tcPr>
            <w:tcW w:w="709"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1276" w:type="dxa"/>
            <w:tcBorders>
              <w:top w:val="nil"/>
              <w:left w:val="nil"/>
              <w:bottom w:val="nil"/>
              <w:right w:val="nil"/>
            </w:tcBorders>
            <w:shd w:val="clear" w:color="000000" w:fill="F2F2F2"/>
          </w:tcPr>
          <w:p w:rsidR="00974DED" w:rsidRPr="00B83183" w:rsidRDefault="00974DED" w:rsidP="00974DED">
            <w:pPr>
              <w:spacing w:before="40" w:after="40"/>
              <w:jc w:val="center"/>
              <w:rPr>
                <w:rFonts w:cs="Arial"/>
              </w:rPr>
            </w:pPr>
          </w:p>
        </w:tc>
        <w:tc>
          <w:tcPr>
            <w:tcW w:w="2410" w:type="dxa"/>
            <w:tcBorders>
              <w:top w:val="nil"/>
              <w:left w:val="nil"/>
              <w:bottom w:val="nil"/>
              <w:right w:val="nil"/>
            </w:tcBorders>
            <w:shd w:val="clear" w:color="000000" w:fill="F2F2F2"/>
          </w:tcPr>
          <w:p w:rsidR="00974DED" w:rsidRPr="00B83183" w:rsidRDefault="00974DED" w:rsidP="00974DED">
            <w:pPr>
              <w:spacing w:before="40" w:after="40"/>
              <w:rPr>
                <w:rFonts w:cs="Arial"/>
              </w:rPr>
            </w:pPr>
          </w:p>
        </w:tc>
      </w:tr>
      <w:tr w:rsidR="00974DED" w:rsidRPr="00B83183" w:rsidTr="00275CF2">
        <w:tc>
          <w:tcPr>
            <w:tcW w:w="439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Fleet services</w:t>
            </w:r>
          </w:p>
        </w:tc>
        <w:tc>
          <w:tcPr>
            <w:tcW w:w="2835" w:type="dxa"/>
            <w:tcBorders>
              <w:top w:val="nil"/>
              <w:left w:val="nil"/>
              <w:bottom w:val="nil"/>
              <w:right w:val="nil"/>
            </w:tcBorders>
            <w:shd w:val="clear" w:color="auto" w:fill="auto"/>
            <w:hideMark/>
          </w:tcPr>
          <w:p w:rsidR="00974DED" w:rsidRPr="00B83183" w:rsidRDefault="00974DED" w:rsidP="00974DED">
            <w:pPr>
              <w:spacing w:before="40" w:after="40"/>
              <w:rPr>
                <w:rFonts w:cs="Arial"/>
              </w:rPr>
            </w:pPr>
            <w:r w:rsidRPr="00B83183">
              <w:rPr>
                <w:rFonts w:cs="Arial"/>
                <w:sz w:val="22"/>
                <w:szCs w:val="22"/>
              </w:rPr>
              <w:t>RACE-based review</w:t>
            </w:r>
          </w:p>
        </w:tc>
        <w:tc>
          <w:tcPr>
            <w:tcW w:w="2409"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Low</w:t>
            </w:r>
          </w:p>
        </w:tc>
        <w:tc>
          <w:tcPr>
            <w:tcW w:w="709" w:type="dxa"/>
            <w:tcBorders>
              <w:top w:val="nil"/>
              <w:left w:val="nil"/>
              <w:bottom w:val="nil"/>
              <w:right w:val="nil"/>
            </w:tcBorders>
          </w:tcPr>
          <w:p w:rsidR="00974DED" w:rsidRPr="00B83183" w:rsidRDefault="00974DED" w:rsidP="00974DED">
            <w:pPr>
              <w:spacing w:before="40" w:after="40"/>
              <w:jc w:val="center"/>
              <w:rPr>
                <w:rFonts w:cs="Arial"/>
              </w:rPr>
            </w:pPr>
          </w:p>
        </w:tc>
        <w:tc>
          <w:tcPr>
            <w:tcW w:w="1276" w:type="dxa"/>
            <w:tcBorders>
              <w:top w:val="nil"/>
              <w:left w:val="nil"/>
              <w:bottom w:val="nil"/>
              <w:right w:val="nil"/>
            </w:tcBorders>
          </w:tcPr>
          <w:p w:rsidR="00974DED" w:rsidRPr="00B83183" w:rsidRDefault="00974DED" w:rsidP="00974DED">
            <w:pPr>
              <w:spacing w:before="40" w:after="40"/>
              <w:jc w:val="center"/>
              <w:rPr>
                <w:rFonts w:cs="Arial"/>
              </w:rPr>
            </w:pPr>
            <w:r w:rsidRPr="00B83183">
              <w:rPr>
                <w:rFonts w:cs="Arial"/>
                <w:sz w:val="22"/>
                <w:szCs w:val="22"/>
              </w:rPr>
              <w:sym w:font="Wingdings" w:char="F0FC"/>
            </w:r>
          </w:p>
        </w:tc>
        <w:tc>
          <w:tcPr>
            <w:tcW w:w="2410" w:type="dxa"/>
            <w:tcBorders>
              <w:top w:val="nil"/>
              <w:left w:val="nil"/>
              <w:bottom w:val="nil"/>
              <w:right w:val="nil"/>
            </w:tcBorders>
          </w:tcPr>
          <w:p w:rsidR="00974DED" w:rsidRPr="00B83183" w:rsidRDefault="00974DED" w:rsidP="00974DED">
            <w:pPr>
              <w:spacing w:before="40" w:after="40"/>
              <w:rPr>
                <w:rFonts w:cs="Arial"/>
              </w:rPr>
            </w:pPr>
            <w:r w:rsidRPr="00B83183">
              <w:rPr>
                <w:rFonts w:cs="Arial"/>
                <w:sz w:val="22"/>
                <w:szCs w:val="22"/>
              </w:rPr>
              <w:t>Substantial</w:t>
            </w:r>
            <w:r>
              <w:rPr>
                <w:rFonts w:cs="Arial"/>
                <w:sz w:val="22"/>
                <w:szCs w:val="22"/>
              </w:rPr>
              <w:t xml:space="preserve"> </w:t>
            </w:r>
            <w:r w:rsidRPr="00974DED">
              <w:rPr>
                <w:rFonts w:cs="Arial"/>
                <w:sz w:val="22"/>
                <w:szCs w:val="22"/>
              </w:rPr>
              <w:t xml:space="preserve">– </w:t>
            </w:r>
            <w:r>
              <w:rPr>
                <w:rFonts w:cs="Arial"/>
                <w:sz w:val="22"/>
                <w:szCs w:val="22"/>
              </w:rPr>
              <w:t>controls</w:t>
            </w:r>
          </w:p>
        </w:tc>
      </w:tr>
    </w:tbl>
    <w:p w:rsidR="008F2360" w:rsidRDefault="008F2360" w:rsidP="008B1E51">
      <w:pPr>
        <w:tabs>
          <w:tab w:val="left" w:pos="2666"/>
        </w:tabs>
      </w:pPr>
    </w:p>
    <w:p w:rsidR="00974DED" w:rsidRDefault="00974DED" w:rsidP="008B1E51">
      <w:pPr>
        <w:tabs>
          <w:tab w:val="left" w:pos="2666"/>
        </w:tabs>
      </w:pPr>
    </w:p>
    <w:p w:rsidR="00974DED" w:rsidRDefault="00974DED" w:rsidP="008B1E51">
      <w:pPr>
        <w:tabs>
          <w:tab w:val="left" w:pos="2666"/>
        </w:tabs>
        <w:sectPr w:rsidR="00974DED" w:rsidSect="00DE01DA">
          <w:headerReference w:type="default" r:id="rId20"/>
          <w:footerReference w:type="default" r:id="rId21"/>
          <w:pgSz w:w="16840" w:h="11907" w:orient="landscape" w:code="9"/>
          <w:pgMar w:top="1418" w:right="1843" w:bottom="993" w:left="1077" w:header="709" w:footer="289" w:gutter="0"/>
          <w:pgNumType w:start="1"/>
          <w:cols w:space="708"/>
          <w:docGrid w:linePitch="360"/>
        </w:sectPr>
      </w:pPr>
    </w:p>
    <w:p w:rsidR="00310E19" w:rsidRPr="003E68C1" w:rsidRDefault="00A0624B" w:rsidP="00310E19">
      <w:pPr>
        <w:pStyle w:val="BodyText"/>
        <w:numPr>
          <w:ilvl w:val="0"/>
          <w:numId w:val="2"/>
        </w:numPr>
        <w:spacing w:before="240" w:after="120"/>
        <w:rPr>
          <w:b/>
          <w:sz w:val="28"/>
          <w:szCs w:val="28"/>
        </w:rPr>
      </w:pPr>
      <w:r w:rsidRPr="00A0624B">
        <w:rPr>
          <w:b/>
          <w:sz w:val="28"/>
          <w:szCs w:val="28"/>
        </w:rPr>
        <w:lastRenderedPageBreak/>
        <w:t>Detailed findings of inter</w:t>
      </w:r>
      <w:r>
        <w:rPr>
          <w:b/>
          <w:sz w:val="28"/>
          <w:szCs w:val="28"/>
        </w:rPr>
        <w:t>nal audit assurance assignments</w:t>
      </w:r>
    </w:p>
    <w:p w:rsidR="00310E19" w:rsidRPr="00310E19" w:rsidRDefault="00310E19" w:rsidP="00D90918">
      <w:pPr>
        <w:numPr>
          <w:ilvl w:val="1"/>
          <w:numId w:val="2"/>
        </w:numPr>
        <w:tabs>
          <w:tab w:val="clear" w:pos="851"/>
        </w:tabs>
        <w:spacing w:before="120" w:after="120"/>
        <w:rPr>
          <w:rFonts w:cs="Arial"/>
        </w:rPr>
      </w:pPr>
      <w:r w:rsidRPr="00310E19">
        <w:rPr>
          <w:rFonts w:cs="Arial"/>
        </w:rPr>
        <w:t xml:space="preserve">Brief information is provided below about the </w:t>
      </w:r>
      <w:r>
        <w:rPr>
          <w:rFonts w:cs="Arial"/>
        </w:rPr>
        <w:t xml:space="preserve">findings of </w:t>
      </w:r>
      <w:r w:rsidRPr="00310E19">
        <w:rPr>
          <w:rFonts w:cs="Arial"/>
        </w:rPr>
        <w:t xml:space="preserve">each piece of work </w:t>
      </w:r>
      <w:r>
        <w:rPr>
          <w:rFonts w:cs="Arial"/>
        </w:rPr>
        <w:t>completed during the year</w:t>
      </w:r>
      <w:r w:rsidRPr="00310E19">
        <w:rPr>
          <w:rFonts w:cs="Arial"/>
        </w:rPr>
        <w:t>. Where services have been re-assessed the audit opinion is on the basis that the process continues in all other respects as it did when first assessed.</w:t>
      </w:r>
    </w:p>
    <w:p w:rsidR="00310E19" w:rsidRPr="00913776" w:rsidRDefault="00310E19" w:rsidP="00310E19">
      <w:pPr>
        <w:spacing w:before="120" w:after="120"/>
        <w:rPr>
          <w:rFonts w:cs="Arial"/>
          <w:b/>
        </w:rPr>
      </w:pPr>
      <w:r w:rsidRPr="00913776">
        <w:rPr>
          <w:rFonts w:cs="Arial"/>
          <w:b/>
        </w:rPr>
        <w:t xml:space="preserve">Corporate controls </w:t>
      </w:r>
    </w:p>
    <w:p w:rsidR="00FF72CD" w:rsidRPr="006839E7" w:rsidRDefault="00FF72CD" w:rsidP="00FF72CD">
      <w:pPr>
        <w:spacing w:before="120" w:after="120"/>
        <w:rPr>
          <w:rFonts w:cs="Arial"/>
        </w:rPr>
      </w:pPr>
      <w:r w:rsidRPr="00913776">
        <w:rPr>
          <w:rFonts w:cs="Arial"/>
          <w:b/>
          <w:i/>
        </w:rPr>
        <w:t xml:space="preserve">Funds flow between LCC and BTLS: </w:t>
      </w:r>
      <w:r w:rsidRPr="00913776">
        <w:rPr>
          <w:rFonts w:cs="Arial"/>
          <w:i/>
        </w:rPr>
        <w:t>substantial assurance</w:t>
      </w:r>
    </w:p>
    <w:p w:rsidR="00FF72CD" w:rsidRPr="006839E7" w:rsidRDefault="00FF72CD" w:rsidP="00FF72CD">
      <w:pPr>
        <w:numPr>
          <w:ilvl w:val="1"/>
          <w:numId w:val="2"/>
        </w:numPr>
        <w:tabs>
          <w:tab w:val="clear" w:pos="851"/>
        </w:tabs>
        <w:spacing w:before="120" w:after="120"/>
        <w:rPr>
          <w:rFonts w:cs="Arial"/>
        </w:rPr>
      </w:pPr>
      <w:r w:rsidRPr="006839E7">
        <w:rPr>
          <w:rFonts w:cs="Arial"/>
        </w:rPr>
        <w:t xml:space="preserve">The monthly payroll report is </w:t>
      </w:r>
      <w:r>
        <w:rPr>
          <w:rFonts w:cs="Arial"/>
        </w:rPr>
        <w:t>used</w:t>
      </w:r>
      <w:r w:rsidRPr="006839E7">
        <w:rPr>
          <w:rFonts w:cs="Arial"/>
        </w:rPr>
        <w:t xml:space="preserve"> to identify the appropriate charges to BTLS and, in future, it will also be reviewed to identify significant changes from month to month so that payments of arrears, pay awards or bonuses can be </w:t>
      </w:r>
      <w:r>
        <w:rPr>
          <w:rFonts w:cs="Arial"/>
        </w:rPr>
        <w:t xml:space="preserve">identified and </w:t>
      </w:r>
      <w:r w:rsidRPr="006839E7">
        <w:rPr>
          <w:rFonts w:cs="Arial"/>
        </w:rPr>
        <w:t>validated.</w:t>
      </w:r>
    </w:p>
    <w:p w:rsidR="00FF72CD" w:rsidRPr="00A94126" w:rsidRDefault="00FF72CD" w:rsidP="00FF72CD">
      <w:pPr>
        <w:numPr>
          <w:ilvl w:val="1"/>
          <w:numId w:val="2"/>
        </w:numPr>
        <w:spacing w:before="120" w:after="120"/>
        <w:rPr>
          <w:rFonts w:cs="Arial"/>
        </w:rPr>
      </w:pPr>
      <w:r w:rsidRPr="00A94126">
        <w:rPr>
          <w:rFonts w:cs="Arial"/>
        </w:rPr>
        <w:t xml:space="preserve">Evidence is available of challenges being made by the LCC Client Manager in respect of BTLS charges raised for goods and services. </w:t>
      </w:r>
      <w:r>
        <w:rPr>
          <w:rFonts w:cs="Arial"/>
        </w:rPr>
        <w:t>There are n</w:t>
      </w:r>
      <w:r w:rsidRPr="00A94126">
        <w:rPr>
          <w:rFonts w:cs="Arial"/>
        </w:rPr>
        <w:t xml:space="preserve">ew governance arrangements between the two organisations, </w:t>
      </w:r>
      <w:r>
        <w:rPr>
          <w:rFonts w:cs="Arial"/>
        </w:rPr>
        <w:t xml:space="preserve">and </w:t>
      </w:r>
      <w:r w:rsidRPr="00A94126">
        <w:rPr>
          <w:rFonts w:cs="Arial"/>
        </w:rPr>
        <w:t xml:space="preserve">monthly and quarterly review meetings </w:t>
      </w:r>
      <w:r>
        <w:rPr>
          <w:rFonts w:cs="Arial"/>
        </w:rPr>
        <w:t xml:space="preserve">will enable </w:t>
      </w:r>
      <w:r w:rsidRPr="00A94126">
        <w:rPr>
          <w:rFonts w:cs="Arial"/>
        </w:rPr>
        <w:t xml:space="preserve">this issue </w:t>
      </w:r>
      <w:r>
        <w:rPr>
          <w:rFonts w:cs="Arial"/>
        </w:rPr>
        <w:t>to be addressed</w:t>
      </w:r>
      <w:r w:rsidRPr="00A94126">
        <w:rPr>
          <w:rFonts w:cs="Arial"/>
        </w:rPr>
        <w:t>.</w:t>
      </w:r>
    </w:p>
    <w:p w:rsidR="00FF72CD" w:rsidRDefault="00FF72CD" w:rsidP="00FF72CD">
      <w:pPr>
        <w:numPr>
          <w:ilvl w:val="1"/>
          <w:numId w:val="2"/>
        </w:numPr>
        <w:spacing w:before="120" w:after="120"/>
        <w:rPr>
          <w:rFonts w:cs="Arial"/>
        </w:rPr>
      </w:pPr>
      <w:r w:rsidRPr="00A94126">
        <w:rPr>
          <w:rFonts w:cs="Arial"/>
        </w:rPr>
        <w:t xml:space="preserve">Charging guidance </w:t>
      </w:r>
      <w:r>
        <w:rPr>
          <w:rFonts w:cs="Arial"/>
        </w:rPr>
        <w:t xml:space="preserve">will </w:t>
      </w:r>
      <w:r w:rsidRPr="00A94126">
        <w:rPr>
          <w:rFonts w:cs="Arial"/>
        </w:rPr>
        <w:t xml:space="preserve">also be made available on the intranet for LCC </w:t>
      </w:r>
      <w:proofErr w:type="spellStart"/>
      <w:r w:rsidRPr="00A94126">
        <w:rPr>
          <w:rFonts w:cs="Arial"/>
        </w:rPr>
        <w:t>requistioners</w:t>
      </w:r>
      <w:proofErr w:type="spellEnd"/>
      <w:r w:rsidRPr="00A94126">
        <w:rPr>
          <w:rFonts w:cs="Arial"/>
        </w:rPr>
        <w:t xml:space="preserve">, including the requirement </w:t>
      </w:r>
      <w:r>
        <w:rPr>
          <w:rFonts w:cs="Arial"/>
        </w:rPr>
        <w:t xml:space="preserve">that </w:t>
      </w:r>
      <w:r w:rsidRPr="00A94126">
        <w:rPr>
          <w:rFonts w:cs="Arial"/>
        </w:rPr>
        <w:t xml:space="preserve">staff contact the LCC Client Manager if </w:t>
      </w:r>
      <w:r>
        <w:rPr>
          <w:rFonts w:cs="Arial"/>
        </w:rPr>
        <w:t xml:space="preserve">they are uncertain about </w:t>
      </w:r>
      <w:r w:rsidRPr="00A94126">
        <w:rPr>
          <w:rFonts w:cs="Arial"/>
        </w:rPr>
        <w:t>any ICT procurement issue</w:t>
      </w:r>
      <w:r w:rsidRPr="006839E7">
        <w:rPr>
          <w:rFonts w:cs="Arial"/>
        </w:rPr>
        <w:t>.</w:t>
      </w:r>
    </w:p>
    <w:p w:rsidR="00310E19" w:rsidRPr="00313228" w:rsidRDefault="00310E19" w:rsidP="00310E19">
      <w:pPr>
        <w:spacing w:before="120" w:after="120"/>
        <w:rPr>
          <w:rFonts w:cs="Arial"/>
        </w:rPr>
      </w:pPr>
      <w:r w:rsidRPr="00913776">
        <w:rPr>
          <w:rFonts w:cs="Arial"/>
          <w:b/>
          <w:i/>
        </w:rPr>
        <w:t xml:space="preserve">Performance data quality and monitoring of BTLS by LCC: </w:t>
      </w:r>
      <w:r w:rsidRPr="00913776">
        <w:rPr>
          <w:rFonts w:cs="Arial"/>
          <w:i/>
        </w:rPr>
        <w:t>substantial assurance</w:t>
      </w:r>
    </w:p>
    <w:p w:rsidR="008C0C4D" w:rsidRPr="008C0C4D" w:rsidRDefault="00D90918" w:rsidP="00D90918">
      <w:pPr>
        <w:numPr>
          <w:ilvl w:val="1"/>
          <w:numId w:val="2"/>
        </w:numPr>
        <w:tabs>
          <w:tab w:val="clear" w:pos="851"/>
        </w:tabs>
        <w:spacing w:before="120" w:after="120"/>
        <w:rPr>
          <w:rFonts w:cs="Arial"/>
        </w:rPr>
      </w:pPr>
      <w:r>
        <w:rPr>
          <w:rFonts w:cs="Arial"/>
        </w:rPr>
        <w:t>T</w:t>
      </w:r>
      <w:r w:rsidR="008C0C4D" w:rsidRPr="008C0C4D">
        <w:rPr>
          <w:rFonts w:cs="Arial"/>
        </w:rPr>
        <w:t>here are new governance arrangements in place between LCC and BTLS. A client manager has been appointed and regular monthly and quarterly review meetings have been scheduled, attended by appropriate representatives of both LCC and BTLS, to facilitate performance monitoring. The Cabinet Committee for Performance Improvement (CCPI) meets on a regular basis and will be provided with a six-monthly report on BTLS performance.</w:t>
      </w:r>
    </w:p>
    <w:p w:rsidR="008C0C4D" w:rsidRPr="009F62DD" w:rsidRDefault="008C0C4D" w:rsidP="00D90918">
      <w:pPr>
        <w:numPr>
          <w:ilvl w:val="1"/>
          <w:numId w:val="2"/>
        </w:numPr>
        <w:tabs>
          <w:tab w:val="clear" w:pos="851"/>
        </w:tabs>
        <w:spacing w:before="120" w:after="120"/>
        <w:rPr>
          <w:rFonts w:cs="Arial"/>
        </w:rPr>
      </w:pPr>
      <w:r w:rsidRPr="008C0C4D">
        <w:rPr>
          <w:rFonts w:cs="Arial"/>
        </w:rPr>
        <w:t xml:space="preserve">A new key performance indicator (KPI) has been defined but needs to be ratified for processing payroll changes, and work is on-going to further develop KPIs covering the payroll and ICT functions. </w:t>
      </w:r>
      <w:r>
        <w:rPr>
          <w:rFonts w:cs="Arial"/>
        </w:rPr>
        <w:t>The ICT KPIs cover</w:t>
      </w:r>
      <w:r w:rsidRPr="000D1579">
        <w:rPr>
          <w:rFonts w:cs="Arial"/>
        </w:rPr>
        <w:t xml:space="preserve"> only one aspect of the ICT service provided</w:t>
      </w:r>
      <w:r>
        <w:rPr>
          <w:rFonts w:cs="Arial"/>
        </w:rPr>
        <w:t xml:space="preserve"> at present and a</w:t>
      </w:r>
      <w:r w:rsidRPr="000D1579">
        <w:rPr>
          <w:rFonts w:cs="Arial"/>
        </w:rPr>
        <w:t xml:space="preserve">n additional non-contracted </w:t>
      </w:r>
      <w:r>
        <w:rPr>
          <w:rFonts w:cs="Arial"/>
        </w:rPr>
        <w:t xml:space="preserve">ICT </w:t>
      </w:r>
      <w:r w:rsidRPr="000D1579">
        <w:rPr>
          <w:rFonts w:cs="Arial"/>
        </w:rPr>
        <w:t>KPI has therefore been set</w:t>
      </w:r>
      <w:r>
        <w:rPr>
          <w:rFonts w:cs="Arial"/>
        </w:rPr>
        <w:t>,</w:t>
      </w:r>
      <w:r w:rsidRPr="000D1579">
        <w:rPr>
          <w:rFonts w:cs="Arial"/>
        </w:rPr>
        <w:t xml:space="preserve"> </w:t>
      </w:r>
      <w:r w:rsidRPr="009F62DD">
        <w:rPr>
          <w:rFonts w:cs="Arial"/>
        </w:rPr>
        <w:t>initially as a monitoring exercise.</w:t>
      </w:r>
    </w:p>
    <w:p w:rsidR="008C0C4D" w:rsidRPr="009F62DD" w:rsidRDefault="008C0C4D" w:rsidP="00D90918">
      <w:pPr>
        <w:numPr>
          <w:ilvl w:val="1"/>
          <w:numId w:val="2"/>
        </w:numPr>
        <w:tabs>
          <w:tab w:val="clear" w:pos="851"/>
        </w:tabs>
        <w:spacing w:before="120" w:after="120"/>
        <w:rPr>
          <w:rFonts w:cs="Arial"/>
        </w:rPr>
      </w:pPr>
      <w:r w:rsidRPr="009F62DD">
        <w:rPr>
          <w:rFonts w:cs="Arial"/>
        </w:rPr>
        <w:t>It is also intended that limited data access will be given to LCC's client manager to validate BTLS's performance, but this is still under negotiation.</w:t>
      </w:r>
    </w:p>
    <w:p w:rsidR="008C0C4D" w:rsidRPr="00906D8C" w:rsidRDefault="008C0C4D" w:rsidP="00D90918">
      <w:pPr>
        <w:rPr>
          <w:rFonts w:cs="Arial"/>
          <w:b/>
        </w:rPr>
      </w:pPr>
      <w:r w:rsidRPr="00906D8C">
        <w:rPr>
          <w:rFonts w:cs="Arial"/>
          <w:b/>
        </w:rPr>
        <w:t>Corporate governance</w:t>
      </w:r>
    </w:p>
    <w:p w:rsidR="008C0C4D" w:rsidRPr="006839E7" w:rsidRDefault="008C0C4D" w:rsidP="00D90918">
      <w:pPr>
        <w:spacing w:before="120" w:after="120"/>
        <w:rPr>
          <w:rFonts w:cs="Arial"/>
          <w:b/>
        </w:rPr>
      </w:pPr>
      <w:r w:rsidRPr="007A0174">
        <w:rPr>
          <w:rFonts w:cs="Arial"/>
          <w:b/>
          <w:i/>
        </w:rPr>
        <w:t xml:space="preserve">Declarations of officers' interests, gifts and hospitality: </w:t>
      </w:r>
      <w:r w:rsidRPr="007A0174">
        <w:rPr>
          <w:rFonts w:cs="Arial"/>
          <w:i/>
        </w:rPr>
        <w:t>substantial</w:t>
      </w:r>
      <w:r w:rsidRPr="0076166E">
        <w:rPr>
          <w:rFonts w:cs="Arial"/>
          <w:i/>
        </w:rPr>
        <w:t xml:space="preserve"> assurance</w:t>
      </w:r>
    </w:p>
    <w:p w:rsidR="00D90918" w:rsidRDefault="00D90918" w:rsidP="00D90918">
      <w:pPr>
        <w:pStyle w:val="ListParagraph"/>
        <w:numPr>
          <w:ilvl w:val="1"/>
          <w:numId w:val="2"/>
        </w:numPr>
        <w:spacing w:before="120" w:after="120"/>
        <w:contextualSpacing w:val="0"/>
        <w:rPr>
          <w:rFonts w:cs="Arial"/>
        </w:rPr>
      </w:pPr>
      <w:r w:rsidRPr="00982197">
        <w:rPr>
          <w:rFonts w:cs="Arial"/>
        </w:rPr>
        <w:t xml:space="preserve">Registration of interests, gifts and hospitality offered </w:t>
      </w:r>
      <w:r>
        <w:rPr>
          <w:rFonts w:cs="Arial"/>
        </w:rPr>
        <w:t xml:space="preserve">to </w:t>
      </w:r>
      <w:r w:rsidRPr="00982197">
        <w:rPr>
          <w:rFonts w:cs="Arial"/>
        </w:rPr>
        <w:t xml:space="preserve">and accepted by officers forms part of the </w:t>
      </w:r>
      <w:r>
        <w:rPr>
          <w:rFonts w:cs="Arial"/>
        </w:rPr>
        <w:t xml:space="preserve">council's </w:t>
      </w:r>
      <w:r w:rsidRPr="00982197">
        <w:rPr>
          <w:rFonts w:cs="Arial"/>
        </w:rPr>
        <w:t>wider framework of corporate governance</w:t>
      </w:r>
      <w:r>
        <w:rPr>
          <w:rFonts w:cs="Arial"/>
        </w:rPr>
        <w:t xml:space="preserve">. </w:t>
      </w:r>
      <w:r w:rsidRPr="00982197">
        <w:rPr>
          <w:rFonts w:cs="Arial"/>
        </w:rPr>
        <w:t xml:space="preserve">Although controls could be further improved overall, we are able to provide substantial assurance over the processes </w:t>
      </w:r>
      <w:r>
        <w:rPr>
          <w:rFonts w:cs="Arial"/>
        </w:rPr>
        <w:t>operated by</w:t>
      </w:r>
      <w:r w:rsidRPr="00982197">
        <w:rPr>
          <w:rFonts w:cs="Arial"/>
        </w:rPr>
        <w:t xml:space="preserve"> the County Secretary and Solicitors team</w:t>
      </w:r>
      <w:r>
        <w:rPr>
          <w:rFonts w:cs="Arial"/>
        </w:rPr>
        <w:t xml:space="preserve">. </w:t>
      </w:r>
    </w:p>
    <w:p w:rsidR="00D90918" w:rsidRPr="00D90918" w:rsidRDefault="00D90918" w:rsidP="00D90918">
      <w:pPr>
        <w:pStyle w:val="ListParagraph"/>
        <w:numPr>
          <w:ilvl w:val="1"/>
          <w:numId w:val="2"/>
        </w:numPr>
        <w:spacing w:before="120" w:after="120"/>
        <w:contextualSpacing w:val="0"/>
        <w:rPr>
          <w:rFonts w:cs="Arial"/>
        </w:rPr>
      </w:pPr>
      <w:r>
        <w:rPr>
          <w:rFonts w:cs="Arial"/>
        </w:rPr>
        <w:t>However the council's governance would be improved by the requirement that certain officers (for example those in posts responsible for procurement) state positively either that they have no personal interests, or else declare them.</w:t>
      </w:r>
    </w:p>
    <w:p w:rsidR="008C3F7A" w:rsidRDefault="008C3F7A">
      <w:pPr>
        <w:spacing w:before="0" w:after="0"/>
        <w:rPr>
          <w:rFonts w:cs="Arial"/>
          <w:b/>
          <w:i/>
        </w:rPr>
      </w:pPr>
      <w:r>
        <w:rPr>
          <w:rFonts w:cs="Arial"/>
          <w:b/>
          <w:i/>
        </w:rPr>
        <w:br w:type="page"/>
      </w:r>
    </w:p>
    <w:p w:rsidR="008C0C4D" w:rsidRPr="00913776" w:rsidRDefault="008C0C4D" w:rsidP="00D90918">
      <w:pPr>
        <w:spacing w:before="120" w:after="120"/>
        <w:rPr>
          <w:rFonts w:cs="Arial"/>
          <w:b/>
          <w:i/>
        </w:rPr>
      </w:pPr>
      <w:r w:rsidRPr="00913776">
        <w:rPr>
          <w:rFonts w:cs="Arial"/>
          <w:b/>
          <w:i/>
        </w:rPr>
        <w:lastRenderedPageBreak/>
        <w:t xml:space="preserve">Members' expenses and allowances: </w:t>
      </w:r>
      <w:r w:rsidRPr="00913776">
        <w:rPr>
          <w:rFonts w:cs="Arial"/>
          <w:i/>
        </w:rPr>
        <w:t>substantial assurance</w:t>
      </w:r>
    </w:p>
    <w:p w:rsidR="00D90918" w:rsidRPr="00537683" w:rsidRDefault="00D90918" w:rsidP="00D90918">
      <w:pPr>
        <w:pStyle w:val="ListParagraph"/>
        <w:numPr>
          <w:ilvl w:val="1"/>
          <w:numId w:val="2"/>
        </w:numPr>
        <w:spacing w:before="120" w:after="120"/>
        <w:contextualSpacing w:val="0"/>
        <w:rPr>
          <w:rFonts w:cs="Arial"/>
        </w:rPr>
      </w:pPr>
      <w:r w:rsidRPr="00537683">
        <w:rPr>
          <w:rFonts w:cs="Arial"/>
        </w:rPr>
        <w:t>The Council approved a new Code of Conduct in 2012 in accordance with provisions in the Localism Act 2011. Under th</w:t>
      </w:r>
      <w:r>
        <w:rPr>
          <w:rFonts w:cs="Arial"/>
        </w:rPr>
        <w:t>is</w:t>
      </w:r>
      <w:r w:rsidRPr="00537683">
        <w:rPr>
          <w:rFonts w:cs="Arial"/>
        </w:rPr>
        <w:t xml:space="preserve"> Code members are required to declare any disclosable pecuniary or non-pecuniary interests that relate to public duties and take steps to resolve any conflicts in a way th</w:t>
      </w:r>
      <w:r>
        <w:rPr>
          <w:rFonts w:cs="Arial"/>
        </w:rPr>
        <w:t>at protects the public interest</w:t>
      </w:r>
      <w:r w:rsidRPr="00537683">
        <w:rPr>
          <w:rFonts w:cs="Arial"/>
        </w:rPr>
        <w:t xml:space="preserve">. The Members' Allowances Scheme </w:t>
      </w:r>
      <w:r>
        <w:rPr>
          <w:rFonts w:cs="Arial"/>
        </w:rPr>
        <w:t>sets out</w:t>
      </w:r>
      <w:r w:rsidRPr="00537683">
        <w:rPr>
          <w:rFonts w:cs="Arial"/>
        </w:rPr>
        <w:t xml:space="preserve"> the allowances payable to councillors, the expenses they may claim and how claims should be made</w:t>
      </w:r>
      <w:r>
        <w:rPr>
          <w:rFonts w:cs="Arial"/>
        </w:rPr>
        <w:t xml:space="preserve"> and </w:t>
      </w:r>
      <w:r w:rsidRPr="00537683">
        <w:rPr>
          <w:rFonts w:cs="Arial"/>
        </w:rPr>
        <w:t xml:space="preserve">is approved by </w:t>
      </w:r>
      <w:r>
        <w:rPr>
          <w:rFonts w:cs="Arial"/>
        </w:rPr>
        <w:t>the</w:t>
      </w:r>
      <w:r w:rsidRPr="00537683">
        <w:rPr>
          <w:rFonts w:cs="Arial"/>
        </w:rPr>
        <w:t xml:space="preserve"> Council annual</w:t>
      </w:r>
      <w:r>
        <w:rPr>
          <w:rFonts w:cs="Arial"/>
        </w:rPr>
        <w:t>ly</w:t>
      </w:r>
      <w:r w:rsidRPr="00537683">
        <w:rPr>
          <w:rFonts w:cs="Arial"/>
        </w:rPr>
        <w:t>, taking into account the recommendations of the Independent Remuneration Panel</w:t>
      </w:r>
      <w:r>
        <w:rPr>
          <w:rFonts w:cs="Arial"/>
        </w:rPr>
        <w:t xml:space="preserve"> (IRP)</w:t>
      </w:r>
      <w:r w:rsidRPr="00537683">
        <w:rPr>
          <w:rFonts w:cs="Arial"/>
        </w:rPr>
        <w:t>.</w:t>
      </w:r>
    </w:p>
    <w:p w:rsidR="008C0C4D" w:rsidRPr="00D90918" w:rsidRDefault="00D90918" w:rsidP="00BB2BF1">
      <w:pPr>
        <w:pStyle w:val="ListParagraph"/>
        <w:numPr>
          <w:ilvl w:val="1"/>
          <w:numId w:val="2"/>
        </w:numPr>
        <w:spacing w:before="120" w:after="120"/>
        <w:contextualSpacing w:val="0"/>
        <w:rPr>
          <w:rFonts w:cs="Arial"/>
        </w:rPr>
      </w:pPr>
      <w:r w:rsidRPr="00D90918">
        <w:rPr>
          <w:rFonts w:cs="Arial"/>
        </w:rPr>
        <w:t xml:space="preserve">The </w:t>
      </w:r>
      <w:r w:rsidR="00B9255D">
        <w:rPr>
          <w:rFonts w:cs="Arial"/>
        </w:rPr>
        <w:t xml:space="preserve">Members' Allowance Scheme also requires councillors to retain receipts for three years in addition to the current financial year and to produce these when required by claim processing officers and internal or </w:t>
      </w:r>
      <w:r w:rsidR="00B9255D">
        <w:rPr>
          <w:rFonts w:cs="Arial"/>
          <w:color w:val="000000" w:themeColor="text1"/>
        </w:rPr>
        <w:t>external auditors. However such checking has not previously been required. Random sample checks of members' claims from 1 April 2015 have been introduced since councillors</w:t>
      </w:r>
      <w:r w:rsidR="00B9255D">
        <w:rPr>
          <w:rFonts w:cs="Arial"/>
        </w:rPr>
        <w:t xml:space="preserve"> were informed </w:t>
      </w:r>
      <w:r w:rsidR="00B9255D">
        <w:t>that such checks would take place,</w:t>
      </w:r>
      <w:r w:rsidR="00B9255D">
        <w:rPr>
          <w:rFonts w:cs="Arial"/>
        </w:rPr>
        <w:t xml:space="preserve"> and have </w:t>
      </w:r>
      <w:r w:rsidR="00B9255D">
        <w:t xml:space="preserve">been </w:t>
      </w:r>
      <w:r w:rsidR="00B9255D">
        <w:rPr>
          <w:rFonts w:cs="Arial"/>
        </w:rPr>
        <w:t xml:space="preserve">reminded of the requirement to retain </w:t>
      </w:r>
      <w:r w:rsidRPr="00D90918">
        <w:rPr>
          <w:rFonts w:cs="Arial"/>
        </w:rPr>
        <w:t>receipts.</w:t>
      </w:r>
    </w:p>
    <w:p w:rsidR="008C0C4D" w:rsidRPr="007A0174" w:rsidRDefault="008C0C4D" w:rsidP="001D631A">
      <w:pPr>
        <w:spacing w:before="120" w:after="120"/>
        <w:rPr>
          <w:rFonts w:cs="Arial"/>
          <w:b/>
          <w:i/>
        </w:rPr>
      </w:pPr>
      <w:r w:rsidRPr="007A0174">
        <w:rPr>
          <w:rFonts w:cs="Arial"/>
          <w:b/>
          <w:i/>
        </w:rPr>
        <w:t xml:space="preserve">Responses to complaints: </w:t>
      </w:r>
      <w:r w:rsidRPr="007A0174">
        <w:rPr>
          <w:rFonts w:cs="Arial"/>
          <w:i/>
        </w:rPr>
        <w:t>substantial assurance</w:t>
      </w:r>
    </w:p>
    <w:p w:rsidR="008C0C4D" w:rsidRDefault="008C0C4D" w:rsidP="001D631A">
      <w:pPr>
        <w:pStyle w:val="ListParagraph"/>
        <w:numPr>
          <w:ilvl w:val="1"/>
          <w:numId w:val="2"/>
        </w:numPr>
        <w:spacing w:before="120" w:after="120"/>
        <w:contextualSpacing w:val="0"/>
        <w:rPr>
          <w:rFonts w:cs="Arial"/>
        </w:rPr>
      </w:pPr>
      <w:r>
        <w:rPr>
          <w:rFonts w:cs="Arial"/>
        </w:rPr>
        <w:t xml:space="preserve">A new Customer Feedback System was implemented </w:t>
      </w:r>
      <w:r w:rsidR="001D631A">
        <w:rPr>
          <w:rFonts w:cs="Arial"/>
        </w:rPr>
        <w:t xml:space="preserve">on </w:t>
      </w:r>
      <w:r>
        <w:rPr>
          <w:rFonts w:cs="Arial"/>
        </w:rPr>
        <w:t xml:space="preserve">1 October 2014, which is used by </w:t>
      </w:r>
      <w:r w:rsidR="001D631A">
        <w:rPr>
          <w:rFonts w:cs="Arial"/>
        </w:rPr>
        <w:t xml:space="preserve">Adults and Children's Services </w:t>
      </w:r>
      <w:r>
        <w:rPr>
          <w:rFonts w:cs="Arial"/>
        </w:rPr>
        <w:t>for complaint handling</w:t>
      </w:r>
      <w:r w:rsidR="001D631A">
        <w:rPr>
          <w:rFonts w:cs="Arial"/>
        </w:rPr>
        <w:t xml:space="preserve"> and it</w:t>
      </w:r>
      <w:r>
        <w:rPr>
          <w:rFonts w:cs="Arial"/>
        </w:rPr>
        <w:t xml:space="preserve"> is envisaged that the </w:t>
      </w:r>
      <w:r w:rsidRPr="00DE01DA">
        <w:rPr>
          <w:rFonts w:cs="Arial"/>
        </w:rPr>
        <w:t xml:space="preserve">system will also be used for corporate complaints in the future. From April 2015, management of all complaints </w:t>
      </w:r>
      <w:r w:rsidR="001D631A" w:rsidRPr="00DE01DA">
        <w:rPr>
          <w:rFonts w:cs="Arial"/>
        </w:rPr>
        <w:t>came</w:t>
      </w:r>
      <w:r w:rsidRPr="00DE01DA">
        <w:rPr>
          <w:rFonts w:cs="Arial"/>
        </w:rPr>
        <w:t xml:space="preserve"> under one team which will facilitate a single management overview. A strategic</w:t>
      </w:r>
      <w:r>
        <w:rPr>
          <w:rFonts w:cs="Arial"/>
        </w:rPr>
        <w:t xml:space="preserve"> overview of social care complaints is provided through appropriate scrutiny committees, and of corporate complaints through the Cabinet Committee for Performance Improvement.</w:t>
      </w:r>
    </w:p>
    <w:p w:rsidR="008C0C4D" w:rsidRPr="007A0174" w:rsidRDefault="008C0C4D" w:rsidP="001D631A">
      <w:pPr>
        <w:spacing w:before="120" w:after="120"/>
        <w:rPr>
          <w:rFonts w:cs="Arial"/>
          <w:b/>
          <w:i/>
        </w:rPr>
      </w:pPr>
      <w:r w:rsidRPr="007A0174">
        <w:rPr>
          <w:rFonts w:cs="Arial"/>
          <w:b/>
        </w:rPr>
        <w:t>Information governance</w:t>
      </w:r>
    </w:p>
    <w:p w:rsidR="008C0C4D" w:rsidRPr="00486D06" w:rsidRDefault="008C0C4D" w:rsidP="001D631A">
      <w:pPr>
        <w:spacing w:before="120" w:after="120"/>
        <w:rPr>
          <w:rFonts w:cs="Arial"/>
          <w:i/>
        </w:rPr>
      </w:pPr>
      <w:r w:rsidRPr="007A0174">
        <w:rPr>
          <w:rFonts w:cs="Arial"/>
          <w:b/>
          <w:i/>
        </w:rPr>
        <w:t>Overall corporate arrangements and action against plans set out in the Information Governance Framework</w:t>
      </w:r>
      <w:r>
        <w:rPr>
          <w:rFonts w:cs="Arial"/>
          <w:b/>
          <w:i/>
        </w:rPr>
        <w:t xml:space="preserve">: </w:t>
      </w:r>
      <w:r>
        <w:rPr>
          <w:rFonts w:cs="Arial"/>
          <w:i/>
        </w:rPr>
        <w:t>substantial assurance</w:t>
      </w:r>
    </w:p>
    <w:p w:rsidR="008C0C4D" w:rsidRDefault="00BE4537" w:rsidP="00BE4537">
      <w:pPr>
        <w:pStyle w:val="ListParagraph"/>
        <w:numPr>
          <w:ilvl w:val="1"/>
          <w:numId w:val="2"/>
        </w:numPr>
        <w:spacing w:before="120" w:after="120"/>
        <w:contextualSpacing w:val="0"/>
        <w:rPr>
          <w:rFonts w:cs="Arial"/>
        </w:rPr>
      </w:pPr>
      <w:r>
        <w:rPr>
          <w:rFonts w:cs="Arial"/>
        </w:rPr>
        <w:t>A number of key actions have been taken that have considerably improved controls over the council's information governance. S</w:t>
      </w:r>
      <w:r w:rsidR="008C0C4D" w:rsidRPr="005B0E24">
        <w:rPr>
          <w:rFonts w:cs="Arial"/>
        </w:rPr>
        <w:t xml:space="preserve">taff have been appointed to key </w:t>
      </w:r>
      <w:r w:rsidR="008C0C4D">
        <w:rPr>
          <w:rFonts w:cs="Arial"/>
        </w:rPr>
        <w:t>i</w:t>
      </w:r>
      <w:r w:rsidR="008C0C4D" w:rsidRPr="005B0E24">
        <w:rPr>
          <w:rFonts w:cs="Arial"/>
        </w:rPr>
        <w:t xml:space="preserve">nformation </w:t>
      </w:r>
      <w:r w:rsidR="008C0C4D">
        <w:rPr>
          <w:rFonts w:cs="Arial"/>
        </w:rPr>
        <w:t>g</w:t>
      </w:r>
      <w:r w:rsidR="008C0C4D" w:rsidRPr="005B0E24">
        <w:rPr>
          <w:rFonts w:cs="Arial"/>
        </w:rPr>
        <w:t>overnance roles</w:t>
      </w:r>
      <w:r w:rsidR="008C0C4D">
        <w:rPr>
          <w:rFonts w:cs="Arial"/>
        </w:rPr>
        <w:t>; a</w:t>
      </w:r>
      <w:r w:rsidR="008C0C4D" w:rsidRPr="005B0E24">
        <w:rPr>
          <w:rFonts w:cs="Arial"/>
        </w:rPr>
        <w:t xml:space="preserve"> series of governance groups are in place</w:t>
      </w:r>
      <w:r w:rsidR="008C0C4D">
        <w:rPr>
          <w:rFonts w:cs="Arial"/>
        </w:rPr>
        <w:t>;</w:t>
      </w:r>
      <w:r w:rsidR="008C0C4D" w:rsidRPr="005B0E24">
        <w:rPr>
          <w:rFonts w:cs="Arial"/>
        </w:rPr>
        <w:t xml:space="preserve"> </w:t>
      </w:r>
      <w:r w:rsidR="008C0C4D">
        <w:rPr>
          <w:rFonts w:cs="Arial"/>
        </w:rPr>
        <w:t>a</w:t>
      </w:r>
      <w:r w:rsidR="008C0C4D" w:rsidRPr="005B0E24">
        <w:rPr>
          <w:rFonts w:cs="Arial"/>
        </w:rPr>
        <w:t xml:space="preserve"> compreh</w:t>
      </w:r>
      <w:r w:rsidR="008C0C4D">
        <w:rPr>
          <w:rFonts w:cs="Arial"/>
        </w:rPr>
        <w:t xml:space="preserve">ensive information governance framework has been </w:t>
      </w:r>
      <w:r w:rsidR="008C0C4D" w:rsidRPr="005B0E24">
        <w:rPr>
          <w:rFonts w:cs="Arial"/>
        </w:rPr>
        <w:t>developed</w:t>
      </w:r>
      <w:r w:rsidR="008C0C4D">
        <w:rPr>
          <w:rFonts w:cs="Arial"/>
        </w:rPr>
        <w:t xml:space="preserve">, including detailed guidance, policies and procedures; a training programme developed; </w:t>
      </w:r>
      <w:r w:rsidR="008C0C4D" w:rsidRPr="005B0E24">
        <w:rPr>
          <w:rFonts w:cs="Arial"/>
        </w:rPr>
        <w:t>responsibility for ensuring compliance with</w:t>
      </w:r>
      <w:r w:rsidR="008C0C4D">
        <w:rPr>
          <w:rFonts w:cs="Arial"/>
        </w:rPr>
        <w:t xml:space="preserve"> information g</w:t>
      </w:r>
      <w:r w:rsidR="008C0C4D" w:rsidRPr="005B0E24">
        <w:rPr>
          <w:rFonts w:cs="Arial"/>
        </w:rPr>
        <w:t xml:space="preserve">overnance standards </w:t>
      </w:r>
      <w:r w:rsidR="008C0C4D">
        <w:rPr>
          <w:rFonts w:cs="Arial"/>
        </w:rPr>
        <w:t>vested with Heads of Service</w:t>
      </w:r>
      <w:r w:rsidR="008C0C4D" w:rsidRPr="005B0E24">
        <w:rPr>
          <w:rFonts w:cs="Arial"/>
        </w:rPr>
        <w:t>, who have been designated as Information Asset Owners</w:t>
      </w:r>
      <w:r>
        <w:rPr>
          <w:rFonts w:cs="Arial"/>
        </w:rPr>
        <w:t>; and</w:t>
      </w:r>
      <w:r w:rsidR="008C0C4D">
        <w:rPr>
          <w:rFonts w:cs="Arial"/>
        </w:rPr>
        <w:t xml:space="preserve"> </w:t>
      </w:r>
      <w:r w:rsidR="008C0C4D" w:rsidRPr="005B0E24">
        <w:rPr>
          <w:rFonts w:cs="Arial"/>
        </w:rPr>
        <w:t xml:space="preserve">a range of spot checks </w:t>
      </w:r>
      <w:r w:rsidR="008C0C4D">
        <w:rPr>
          <w:rFonts w:cs="Arial"/>
        </w:rPr>
        <w:t xml:space="preserve">programmed by the Head of Information Governance </w:t>
      </w:r>
      <w:r w:rsidR="008C0C4D" w:rsidRPr="005B0E24">
        <w:rPr>
          <w:rFonts w:cs="Arial"/>
        </w:rPr>
        <w:t xml:space="preserve">to ascertain the </w:t>
      </w:r>
      <w:r w:rsidR="008C0C4D">
        <w:rPr>
          <w:rFonts w:cs="Arial"/>
        </w:rPr>
        <w:t>extent to which the new controls have been implemented.</w:t>
      </w:r>
    </w:p>
    <w:p w:rsidR="008C0C4D" w:rsidRPr="007A0174" w:rsidRDefault="008C0C4D" w:rsidP="00BE4537">
      <w:pPr>
        <w:spacing w:before="120" w:after="120"/>
        <w:rPr>
          <w:rFonts w:cs="Arial"/>
          <w:b/>
        </w:rPr>
      </w:pPr>
      <w:r w:rsidRPr="007A0174">
        <w:rPr>
          <w:rFonts w:cs="Arial"/>
          <w:b/>
        </w:rPr>
        <w:t>Financial controls</w:t>
      </w:r>
    </w:p>
    <w:p w:rsidR="008C0C4D" w:rsidRPr="00275CF2" w:rsidRDefault="008C0C4D" w:rsidP="00BE4537">
      <w:pPr>
        <w:spacing w:before="120" w:after="120"/>
        <w:rPr>
          <w:rFonts w:cs="Arial"/>
          <w:b/>
          <w:i/>
        </w:rPr>
      </w:pPr>
      <w:r w:rsidRPr="007A0174">
        <w:rPr>
          <w:rFonts w:cs="Arial"/>
          <w:b/>
          <w:i/>
        </w:rPr>
        <w:t xml:space="preserve">Accounts payable </w:t>
      </w:r>
      <w:r>
        <w:rPr>
          <w:rFonts w:cs="Arial"/>
          <w:b/>
          <w:i/>
        </w:rPr>
        <w:t>– central system</w:t>
      </w:r>
      <w:r w:rsidR="00BE4537" w:rsidRPr="00275CF2">
        <w:rPr>
          <w:rFonts w:cs="Arial"/>
          <w:b/>
          <w:i/>
        </w:rPr>
        <w:t xml:space="preserve">: </w:t>
      </w:r>
      <w:r w:rsidR="00BE4537" w:rsidRPr="00275CF2">
        <w:rPr>
          <w:rFonts w:cs="Arial"/>
          <w:i/>
        </w:rPr>
        <w:t>substantial assurance</w:t>
      </w:r>
    </w:p>
    <w:p w:rsidR="008C0C4D" w:rsidRPr="002C6572" w:rsidRDefault="00275CF2" w:rsidP="00BB2BF1">
      <w:pPr>
        <w:pStyle w:val="ListParagraph"/>
        <w:numPr>
          <w:ilvl w:val="1"/>
          <w:numId w:val="2"/>
        </w:numPr>
        <w:spacing w:before="120" w:after="120"/>
        <w:contextualSpacing w:val="0"/>
        <w:rPr>
          <w:rFonts w:cs="Arial"/>
        </w:rPr>
      </w:pPr>
      <w:r w:rsidRPr="002C6572">
        <w:rPr>
          <w:rFonts w:cs="Arial"/>
        </w:rPr>
        <w:t xml:space="preserve">We have </w:t>
      </w:r>
      <w:r w:rsidR="002C6572">
        <w:rPr>
          <w:rFonts w:cs="Arial"/>
        </w:rPr>
        <w:t>tested</w:t>
      </w:r>
      <w:r w:rsidR="008C0C4D" w:rsidRPr="002C6572">
        <w:rPr>
          <w:rFonts w:cs="Arial"/>
        </w:rPr>
        <w:t xml:space="preserve"> </w:t>
      </w:r>
      <w:r w:rsidRPr="002C6572">
        <w:rPr>
          <w:rFonts w:cs="Arial"/>
        </w:rPr>
        <w:t xml:space="preserve">the centrally operated </w:t>
      </w:r>
      <w:r w:rsidR="008C0C4D" w:rsidRPr="002C6572">
        <w:rPr>
          <w:rFonts w:cs="Arial"/>
        </w:rPr>
        <w:t>controls over th</w:t>
      </w:r>
      <w:r w:rsidRPr="002C6572">
        <w:rPr>
          <w:rFonts w:cs="Arial"/>
        </w:rPr>
        <w:t>e requisitioning, goods receipt</w:t>
      </w:r>
      <w:r w:rsidR="008C0C4D" w:rsidRPr="002C6572">
        <w:rPr>
          <w:rFonts w:cs="Arial"/>
        </w:rPr>
        <w:t xml:space="preserve"> and payments processes</w:t>
      </w:r>
      <w:r w:rsidRPr="002C6572">
        <w:rPr>
          <w:rFonts w:cs="Arial"/>
        </w:rPr>
        <w:t xml:space="preserve"> and can provide </w:t>
      </w:r>
      <w:r w:rsidR="008C0C4D" w:rsidRPr="002C6572">
        <w:rPr>
          <w:rFonts w:cs="Arial"/>
        </w:rPr>
        <w:t>substantial assurance over the</w:t>
      </w:r>
      <w:r w:rsidRPr="002C6572">
        <w:rPr>
          <w:rFonts w:cs="Arial"/>
        </w:rPr>
        <w:t>ir</w:t>
      </w:r>
      <w:r w:rsidR="008C0C4D" w:rsidRPr="002C6572">
        <w:rPr>
          <w:rFonts w:cs="Arial"/>
        </w:rPr>
        <w:t xml:space="preserve"> </w:t>
      </w:r>
      <w:r w:rsidRPr="002C6572">
        <w:rPr>
          <w:rFonts w:cs="Arial"/>
        </w:rPr>
        <w:t xml:space="preserve">operation </w:t>
      </w:r>
      <w:r w:rsidR="008C0C4D" w:rsidRPr="002C6572">
        <w:rPr>
          <w:rFonts w:cs="Arial"/>
        </w:rPr>
        <w:t xml:space="preserve">for the </w:t>
      </w:r>
      <w:r w:rsidRPr="002C6572">
        <w:rPr>
          <w:rFonts w:cs="Arial"/>
        </w:rPr>
        <w:t xml:space="preserve">whole </w:t>
      </w:r>
      <w:r w:rsidR="008C0C4D" w:rsidRPr="002C6572">
        <w:rPr>
          <w:rFonts w:cs="Arial"/>
        </w:rPr>
        <w:t>year.</w:t>
      </w:r>
    </w:p>
    <w:p w:rsidR="008C3F7A" w:rsidRDefault="008C3F7A">
      <w:pPr>
        <w:spacing w:before="0" w:after="0"/>
        <w:rPr>
          <w:rFonts w:cs="Arial"/>
          <w:b/>
          <w:i/>
        </w:rPr>
      </w:pPr>
      <w:r>
        <w:rPr>
          <w:rFonts w:cs="Arial"/>
          <w:b/>
          <w:i/>
        </w:rPr>
        <w:br w:type="page"/>
      </w:r>
    </w:p>
    <w:p w:rsidR="008C0C4D" w:rsidRPr="007A0174" w:rsidRDefault="008C0C4D" w:rsidP="00B2622C">
      <w:pPr>
        <w:spacing w:before="120" w:after="120"/>
        <w:rPr>
          <w:rFonts w:cs="Arial"/>
          <w:b/>
          <w:i/>
        </w:rPr>
      </w:pPr>
      <w:r w:rsidRPr="007A0174">
        <w:rPr>
          <w:rFonts w:cs="Arial"/>
          <w:b/>
          <w:i/>
        </w:rPr>
        <w:lastRenderedPageBreak/>
        <w:t>Accounts receivable and debt recovery</w:t>
      </w:r>
      <w:r w:rsidR="00B2622C">
        <w:rPr>
          <w:rFonts w:cs="Arial"/>
          <w:b/>
          <w:i/>
        </w:rPr>
        <w:t xml:space="preserve">: </w:t>
      </w:r>
      <w:r w:rsidR="005A10F9" w:rsidRPr="005A10F9">
        <w:rPr>
          <w:rFonts w:cs="Arial"/>
          <w:i/>
        </w:rPr>
        <w:t xml:space="preserve">limited </w:t>
      </w:r>
      <w:r w:rsidR="00B2622C" w:rsidRPr="005A10F9">
        <w:rPr>
          <w:rFonts w:cs="Arial"/>
          <w:i/>
        </w:rPr>
        <w:t>assurance</w:t>
      </w:r>
    </w:p>
    <w:p w:rsidR="008C0C4D" w:rsidRDefault="008C0C4D" w:rsidP="005A10F9">
      <w:pPr>
        <w:pStyle w:val="ListParagraph"/>
        <w:numPr>
          <w:ilvl w:val="1"/>
          <w:numId w:val="2"/>
        </w:numPr>
        <w:spacing w:before="120" w:after="120"/>
        <w:contextualSpacing w:val="0"/>
        <w:rPr>
          <w:rFonts w:cs="Arial"/>
        </w:rPr>
      </w:pPr>
      <w:r w:rsidRPr="00720E2C">
        <w:rPr>
          <w:rFonts w:cs="Arial"/>
        </w:rPr>
        <w:t xml:space="preserve">Remedial action </w:t>
      </w:r>
      <w:r w:rsidR="00B2622C">
        <w:rPr>
          <w:rFonts w:cs="Arial"/>
        </w:rPr>
        <w:t>was</w:t>
      </w:r>
      <w:r w:rsidRPr="00720E2C">
        <w:rPr>
          <w:rFonts w:cs="Arial"/>
        </w:rPr>
        <w:t xml:space="preserve"> not complete before the year end and </w:t>
      </w:r>
      <w:r w:rsidR="00B2622C">
        <w:rPr>
          <w:rFonts w:cs="Arial"/>
        </w:rPr>
        <w:t xml:space="preserve">therefore </w:t>
      </w:r>
      <w:r w:rsidRPr="00720E2C">
        <w:rPr>
          <w:rFonts w:cs="Arial"/>
        </w:rPr>
        <w:t xml:space="preserve">no </w:t>
      </w:r>
      <w:r w:rsidR="005A10F9">
        <w:rPr>
          <w:rFonts w:cs="Arial"/>
        </w:rPr>
        <w:t xml:space="preserve">detailed </w:t>
      </w:r>
      <w:r w:rsidRPr="00720E2C">
        <w:rPr>
          <w:rFonts w:cs="Arial"/>
        </w:rPr>
        <w:t xml:space="preserve">audit work </w:t>
      </w:r>
      <w:r w:rsidR="00B2622C">
        <w:rPr>
          <w:rFonts w:cs="Arial"/>
        </w:rPr>
        <w:t xml:space="preserve">was </w:t>
      </w:r>
      <w:r w:rsidRPr="00720E2C">
        <w:rPr>
          <w:rFonts w:cs="Arial"/>
        </w:rPr>
        <w:t>undertaken in 2014/15.</w:t>
      </w:r>
      <w:r>
        <w:rPr>
          <w:rFonts w:cs="Arial"/>
        </w:rPr>
        <w:t xml:space="preserve"> </w:t>
      </w:r>
      <w:r w:rsidR="005A10F9">
        <w:rPr>
          <w:rFonts w:cs="Arial"/>
        </w:rPr>
        <w:t xml:space="preserve">However it is clear that robust action is in hand; for example a document setting out </w:t>
      </w:r>
      <w:r w:rsidR="00726A48">
        <w:rPr>
          <w:rFonts w:cs="Arial"/>
        </w:rPr>
        <w:t xml:space="preserve">a </w:t>
      </w:r>
      <w:r w:rsidR="005A10F9">
        <w:rPr>
          <w:rFonts w:cs="Arial"/>
        </w:rPr>
        <w:t xml:space="preserve">revised </w:t>
      </w:r>
      <w:r w:rsidR="00726A48">
        <w:rPr>
          <w:rFonts w:cs="Arial"/>
        </w:rPr>
        <w:t>i</w:t>
      </w:r>
      <w:r w:rsidR="005A10F9" w:rsidRPr="005A10F9">
        <w:rPr>
          <w:rFonts w:cs="Arial"/>
        </w:rPr>
        <w:t xml:space="preserve">ncome and </w:t>
      </w:r>
      <w:r w:rsidR="00726A48">
        <w:rPr>
          <w:rFonts w:cs="Arial"/>
        </w:rPr>
        <w:t>d</w:t>
      </w:r>
      <w:r w:rsidR="005A10F9" w:rsidRPr="005A10F9">
        <w:rPr>
          <w:rFonts w:cs="Arial"/>
        </w:rPr>
        <w:t xml:space="preserve">ebt </w:t>
      </w:r>
      <w:r w:rsidR="00726A48">
        <w:rPr>
          <w:rFonts w:cs="Arial"/>
        </w:rPr>
        <w:t>m</w:t>
      </w:r>
      <w:r w:rsidR="005A10F9" w:rsidRPr="005A10F9">
        <w:rPr>
          <w:rFonts w:cs="Arial"/>
        </w:rPr>
        <w:t xml:space="preserve">anagement </w:t>
      </w:r>
      <w:r w:rsidR="00726A48">
        <w:rPr>
          <w:rFonts w:cs="Arial"/>
        </w:rPr>
        <w:t>p</w:t>
      </w:r>
      <w:r w:rsidR="005A10F9" w:rsidRPr="005A10F9">
        <w:rPr>
          <w:rFonts w:cs="Arial"/>
        </w:rPr>
        <w:t xml:space="preserve">olicy, </w:t>
      </w:r>
      <w:r w:rsidR="00726A48">
        <w:rPr>
          <w:rFonts w:cs="Arial"/>
        </w:rPr>
        <w:t>p</w:t>
      </w:r>
      <w:r w:rsidR="005A10F9" w:rsidRPr="005A10F9">
        <w:rPr>
          <w:rFonts w:cs="Arial"/>
        </w:rPr>
        <w:t xml:space="preserve">rocesses and </w:t>
      </w:r>
      <w:r w:rsidR="00726A48">
        <w:rPr>
          <w:rFonts w:cs="Arial"/>
        </w:rPr>
        <w:t>r</w:t>
      </w:r>
      <w:r w:rsidR="005A10F9" w:rsidRPr="005A10F9">
        <w:rPr>
          <w:rFonts w:cs="Arial"/>
        </w:rPr>
        <w:t>esponsibilities</w:t>
      </w:r>
      <w:r w:rsidR="00726A48">
        <w:rPr>
          <w:rFonts w:cs="Arial"/>
        </w:rPr>
        <w:t xml:space="preserve"> was finalised and shared with all heads of service during May 2015.</w:t>
      </w:r>
    </w:p>
    <w:p w:rsidR="008C0C4D" w:rsidRPr="007A0174" w:rsidRDefault="008C0C4D" w:rsidP="00B2622C">
      <w:pPr>
        <w:spacing w:before="120" w:after="120"/>
        <w:rPr>
          <w:rFonts w:cs="Arial"/>
          <w:b/>
          <w:i/>
        </w:rPr>
      </w:pPr>
      <w:r w:rsidRPr="007A0174">
        <w:rPr>
          <w:rFonts w:cs="Arial"/>
          <w:b/>
          <w:i/>
        </w:rPr>
        <w:t xml:space="preserve">Budget monitoring and control: </w:t>
      </w:r>
      <w:r w:rsidRPr="002F23A5">
        <w:rPr>
          <w:rFonts w:cs="Arial"/>
          <w:i/>
        </w:rPr>
        <w:t>substantial</w:t>
      </w:r>
      <w:r>
        <w:rPr>
          <w:rFonts w:cs="Arial"/>
          <w:i/>
        </w:rPr>
        <w:t xml:space="preserve"> </w:t>
      </w:r>
      <w:r w:rsidRPr="0076166E">
        <w:rPr>
          <w:rFonts w:cs="Arial"/>
          <w:i/>
        </w:rPr>
        <w:t>assurance</w:t>
      </w:r>
    </w:p>
    <w:p w:rsidR="008C0C4D" w:rsidRDefault="008C0C4D" w:rsidP="00B2622C">
      <w:pPr>
        <w:pStyle w:val="ListParagraph"/>
        <w:numPr>
          <w:ilvl w:val="1"/>
          <w:numId w:val="2"/>
        </w:numPr>
        <w:spacing w:before="120" w:after="120"/>
        <w:contextualSpacing w:val="0"/>
        <w:rPr>
          <w:rFonts w:cs="Arial"/>
        </w:rPr>
      </w:pPr>
      <w:r w:rsidRPr="00F0629A">
        <w:rPr>
          <w:rFonts w:cs="Arial"/>
        </w:rPr>
        <w:t xml:space="preserve">The data recorded in the Oracle Financials system is accurate although the system's reporting function makes examination of details difficult for budget holders. </w:t>
      </w:r>
      <w:r>
        <w:rPr>
          <w:rFonts w:cs="Arial"/>
        </w:rPr>
        <w:t xml:space="preserve"> </w:t>
      </w:r>
      <w:r w:rsidRPr="00F0629A">
        <w:rPr>
          <w:rFonts w:cs="Arial"/>
        </w:rPr>
        <w:t>Forecasting is thorough and effective, and is subject to a number of reviews. However it is clear that finance staff still play a very significant role in the forecasting process and whilst this is appropriate for high risk budgets, it runs counter to the current strategy of placing strong reliance on budget holders.</w:t>
      </w:r>
      <w:r>
        <w:rPr>
          <w:rFonts w:cs="Arial"/>
        </w:rPr>
        <w:t xml:space="preserve"> </w:t>
      </w:r>
      <w:r w:rsidR="00B2622C">
        <w:rPr>
          <w:rFonts w:cs="Arial"/>
        </w:rPr>
        <w:t xml:space="preserve">In future </w:t>
      </w:r>
      <w:r>
        <w:rPr>
          <w:rFonts w:cs="Arial"/>
        </w:rPr>
        <w:t xml:space="preserve">the number of budget holders will be significantly reduced, focussing </w:t>
      </w:r>
      <w:r w:rsidR="00B2622C">
        <w:rPr>
          <w:rFonts w:cs="Arial"/>
        </w:rPr>
        <w:t xml:space="preserve">attention </w:t>
      </w:r>
      <w:r>
        <w:rPr>
          <w:rFonts w:cs="Arial"/>
        </w:rPr>
        <w:t xml:space="preserve">primarily </w:t>
      </w:r>
      <w:r w:rsidR="00B2622C">
        <w:rPr>
          <w:rFonts w:cs="Arial"/>
        </w:rPr>
        <w:t>o</w:t>
      </w:r>
      <w:r>
        <w:rPr>
          <w:rFonts w:cs="Arial"/>
        </w:rPr>
        <w:t xml:space="preserve">n high risk budgets and </w:t>
      </w:r>
      <w:r w:rsidR="00B2622C">
        <w:rPr>
          <w:rFonts w:cs="Arial"/>
        </w:rPr>
        <w:t xml:space="preserve">members of the </w:t>
      </w:r>
      <w:r>
        <w:rPr>
          <w:rFonts w:cs="Arial"/>
        </w:rPr>
        <w:t xml:space="preserve">Finance </w:t>
      </w:r>
      <w:r w:rsidR="00B2622C">
        <w:rPr>
          <w:rFonts w:cs="Arial"/>
        </w:rPr>
        <w:t xml:space="preserve">team </w:t>
      </w:r>
      <w:r>
        <w:rPr>
          <w:rFonts w:cs="Arial"/>
        </w:rPr>
        <w:t xml:space="preserve">will work closely with budget holders to </w:t>
      </w:r>
      <w:r w:rsidR="00B2622C">
        <w:rPr>
          <w:rFonts w:cs="Arial"/>
        </w:rPr>
        <w:t>understand their budgets</w:t>
      </w:r>
      <w:r>
        <w:rPr>
          <w:rFonts w:cs="Arial"/>
        </w:rPr>
        <w:t>.</w:t>
      </w:r>
    </w:p>
    <w:p w:rsidR="008C0C4D" w:rsidRPr="007A0174" w:rsidRDefault="008C0C4D" w:rsidP="00B2622C">
      <w:pPr>
        <w:spacing w:before="120" w:after="120"/>
        <w:rPr>
          <w:rFonts w:cs="Arial"/>
          <w:b/>
          <w:i/>
        </w:rPr>
      </w:pPr>
      <w:r w:rsidRPr="007A0174">
        <w:rPr>
          <w:rFonts w:cs="Arial"/>
          <w:b/>
          <w:i/>
        </w:rPr>
        <w:t xml:space="preserve">Capital accounting: </w:t>
      </w:r>
      <w:r w:rsidRPr="002F23A5">
        <w:rPr>
          <w:rFonts w:cs="Arial"/>
          <w:i/>
        </w:rPr>
        <w:t>substantial</w:t>
      </w:r>
      <w:r>
        <w:rPr>
          <w:rFonts w:cs="Arial"/>
          <w:i/>
        </w:rPr>
        <w:t xml:space="preserve"> </w:t>
      </w:r>
      <w:r w:rsidRPr="0076166E">
        <w:rPr>
          <w:rFonts w:cs="Arial"/>
          <w:i/>
        </w:rPr>
        <w:t>assurance</w:t>
      </w:r>
    </w:p>
    <w:p w:rsidR="00B2622C" w:rsidRPr="00B2622C" w:rsidRDefault="00B2622C" w:rsidP="00BB2BF1">
      <w:pPr>
        <w:pStyle w:val="ListParagraph"/>
        <w:numPr>
          <w:ilvl w:val="1"/>
          <w:numId w:val="2"/>
        </w:numPr>
        <w:spacing w:before="120" w:after="120"/>
        <w:contextualSpacing w:val="0"/>
        <w:rPr>
          <w:rFonts w:cs="Arial"/>
        </w:rPr>
      </w:pPr>
      <w:r>
        <w:rPr>
          <w:rFonts w:cs="Arial"/>
        </w:rPr>
        <w:t>S</w:t>
      </w:r>
      <w:r w:rsidR="008C0C4D" w:rsidRPr="00B2622C">
        <w:rPr>
          <w:rFonts w:cs="Arial"/>
        </w:rPr>
        <w:t xml:space="preserve">ome minor actions </w:t>
      </w:r>
      <w:r w:rsidRPr="00B2622C">
        <w:rPr>
          <w:rFonts w:cs="Arial"/>
        </w:rPr>
        <w:t>were</w:t>
      </w:r>
      <w:r w:rsidR="008C0C4D" w:rsidRPr="00B2622C">
        <w:rPr>
          <w:rFonts w:cs="Arial"/>
        </w:rPr>
        <w:t xml:space="preserve"> agreed to </w:t>
      </w:r>
      <w:r w:rsidRPr="00B2622C">
        <w:rPr>
          <w:rFonts w:cs="Arial"/>
        </w:rPr>
        <w:t xml:space="preserve">improve the control environment, </w:t>
      </w:r>
      <w:r>
        <w:rPr>
          <w:rFonts w:cs="Arial"/>
        </w:rPr>
        <w:t>relating</w:t>
      </w:r>
      <w:r w:rsidRPr="00B2622C">
        <w:rPr>
          <w:rFonts w:cs="Arial"/>
        </w:rPr>
        <w:t xml:space="preserve"> to the need to reconcile the separate databases of property assets that support the property maintenance and estates function, and the financial accounting function for fixed assets.</w:t>
      </w:r>
    </w:p>
    <w:p w:rsidR="008C0C4D" w:rsidRPr="007A0174" w:rsidRDefault="008C0C4D" w:rsidP="00B2622C">
      <w:pPr>
        <w:spacing w:before="120" w:after="120"/>
        <w:rPr>
          <w:rFonts w:cs="Arial"/>
          <w:b/>
          <w:i/>
        </w:rPr>
      </w:pPr>
      <w:r w:rsidRPr="007A0174">
        <w:rPr>
          <w:rFonts w:cs="Arial"/>
          <w:b/>
          <w:i/>
        </w:rPr>
        <w:t>Cash and banking:</w:t>
      </w:r>
      <w:r w:rsidRPr="007A0174">
        <w:rPr>
          <w:rFonts w:cs="Arial"/>
          <w:i/>
          <w:sz w:val="22"/>
          <w:szCs w:val="22"/>
        </w:rPr>
        <w:t xml:space="preserve"> </w:t>
      </w:r>
      <w:r w:rsidRPr="002F23A5">
        <w:rPr>
          <w:rFonts w:cs="Arial"/>
          <w:i/>
        </w:rPr>
        <w:t>substantial</w:t>
      </w:r>
      <w:r>
        <w:rPr>
          <w:rFonts w:cs="Arial"/>
          <w:i/>
        </w:rPr>
        <w:t xml:space="preserve"> </w:t>
      </w:r>
      <w:r w:rsidRPr="0076166E">
        <w:rPr>
          <w:rFonts w:cs="Arial"/>
          <w:i/>
        </w:rPr>
        <w:t>assurance</w:t>
      </w:r>
    </w:p>
    <w:p w:rsidR="008C0C4D" w:rsidRPr="00F0629A" w:rsidRDefault="008C0C4D" w:rsidP="00BD77F1">
      <w:pPr>
        <w:pStyle w:val="ListParagraph"/>
        <w:numPr>
          <w:ilvl w:val="1"/>
          <w:numId w:val="2"/>
        </w:numPr>
        <w:spacing w:before="120" w:after="120"/>
        <w:contextualSpacing w:val="0"/>
        <w:rPr>
          <w:rFonts w:cs="Arial"/>
        </w:rPr>
      </w:pPr>
      <w:r w:rsidRPr="00F0629A">
        <w:rPr>
          <w:rFonts w:cs="Arial"/>
        </w:rPr>
        <w:t>The income identification and allocation process is effective and has improved significantly after a number of performance and process improvements</w:t>
      </w:r>
      <w:r>
        <w:rPr>
          <w:rFonts w:cs="Arial"/>
        </w:rPr>
        <w:t xml:space="preserve"> over the last year</w:t>
      </w:r>
      <w:r w:rsidRPr="00F0629A">
        <w:rPr>
          <w:rFonts w:cs="Arial"/>
        </w:rPr>
        <w:t xml:space="preserve">. Efficiencies have been made by automating manual processes, introducing new ways of working and making better use of the technology available. </w:t>
      </w:r>
    </w:p>
    <w:p w:rsidR="008C0C4D" w:rsidRDefault="008C0C4D" w:rsidP="00BD77F1">
      <w:pPr>
        <w:pStyle w:val="ListParagraph"/>
        <w:numPr>
          <w:ilvl w:val="1"/>
          <w:numId w:val="2"/>
        </w:numPr>
        <w:spacing w:before="120" w:after="120"/>
        <w:contextualSpacing w:val="0"/>
        <w:rPr>
          <w:rFonts w:cs="Arial"/>
        </w:rPr>
      </w:pPr>
      <w:r w:rsidRPr="00F0629A">
        <w:rPr>
          <w:rFonts w:cs="Arial"/>
        </w:rPr>
        <w:t xml:space="preserve">Our testing of </w:t>
      </w:r>
      <w:r>
        <w:rPr>
          <w:rFonts w:cs="Arial"/>
        </w:rPr>
        <w:t>controls over cash income handling, income upload and banking processes at a sample of remote</w:t>
      </w:r>
      <w:r w:rsidRPr="00F0629A">
        <w:rPr>
          <w:rFonts w:cs="Arial"/>
        </w:rPr>
        <w:t xml:space="preserve"> establishments is also complete and has raised no significant issues</w:t>
      </w:r>
      <w:r>
        <w:rPr>
          <w:rFonts w:cs="Arial"/>
        </w:rPr>
        <w:t>. However it</w:t>
      </w:r>
      <w:r w:rsidRPr="00F0629A">
        <w:rPr>
          <w:rFonts w:cs="Arial"/>
        </w:rPr>
        <w:t xml:space="preserve"> would be helpful to establishments if written procedure notes could be provided</w:t>
      </w:r>
      <w:r>
        <w:rPr>
          <w:rFonts w:cs="Arial"/>
        </w:rPr>
        <w:t>. We also note that ideal</w:t>
      </w:r>
      <w:r w:rsidRPr="00F0629A">
        <w:rPr>
          <w:rFonts w:cs="Arial"/>
        </w:rPr>
        <w:t xml:space="preserve"> segregation of duties is always difficult </w:t>
      </w:r>
      <w:r>
        <w:rPr>
          <w:rFonts w:cs="Arial"/>
        </w:rPr>
        <w:t xml:space="preserve">to achieve </w:t>
      </w:r>
      <w:r w:rsidRPr="00F0629A">
        <w:rPr>
          <w:rFonts w:cs="Arial"/>
        </w:rPr>
        <w:t>where there are few staff</w:t>
      </w:r>
      <w:r>
        <w:rPr>
          <w:rFonts w:cs="Arial"/>
        </w:rPr>
        <w:t xml:space="preserve"> in place</w:t>
      </w:r>
      <w:r w:rsidRPr="00F0629A">
        <w:rPr>
          <w:rFonts w:cs="Arial"/>
        </w:rPr>
        <w:t>.</w:t>
      </w:r>
    </w:p>
    <w:p w:rsidR="008C0C4D" w:rsidRPr="00B2622C" w:rsidRDefault="008C0C4D" w:rsidP="00B2622C">
      <w:pPr>
        <w:spacing w:before="120" w:after="120"/>
        <w:rPr>
          <w:rFonts w:cs="Arial"/>
        </w:rPr>
      </w:pPr>
      <w:r w:rsidRPr="00B2622C">
        <w:rPr>
          <w:rFonts w:cs="Arial"/>
          <w:b/>
          <w:i/>
        </w:rPr>
        <w:t xml:space="preserve">Expenses and allowances: </w:t>
      </w:r>
      <w:r w:rsidRPr="00B2622C">
        <w:rPr>
          <w:rFonts w:cs="Arial"/>
          <w:i/>
        </w:rPr>
        <w:t>limited assurance</w:t>
      </w:r>
    </w:p>
    <w:p w:rsidR="00B2622C" w:rsidRPr="002C6572" w:rsidRDefault="00B2622C" w:rsidP="00BD77F1">
      <w:pPr>
        <w:pStyle w:val="ListParagraph"/>
        <w:numPr>
          <w:ilvl w:val="1"/>
          <w:numId w:val="2"/>
        </w:numPr>
        <w:spacing w:before="120" w:after="120"/>
        <w:contextualSpacing w:val="0"/>
        <w:rPr>
          <w:rFonts w:cs="Arial"/>
        </w:rPr>
      </w:pPr>
      <w:r w:rsidRPr="000E2EBD">
        <w:rPr>
          <w:rFonts w:cs="Arial"/>
        </w:rPr>
        <w:t xml:space="preserve">Although there has been an improvement in control since the last audit of expenses in October 2013, </w:t>
      </w:r>
      <w:r>
        <w:rPr>
          <w:rFonts w:cs="Arial"/>
        </w:rPr>
        <w:t xml:space="preserve">when we were able to provide no </w:t>
      </w:r>
      <w:r w:rsidRPr="000E2EBD">
        <w:rPr>
          <w:rFonts w:cs="Arial"/>
        </w:rPr>
        <w:t>assurance, there are still areas for significant improvement</w:t>
      </w:r>
      <w:r>
        <w:rPr>
          <w:rFonts w:cs="Arial"/>
        </w:rPr>
        <w:t xml:space="preserve">, in </w:t>
      </w:r>
      <w:r w:rsidRPr="000E2EBD">
        <w:rPr>
          <w:rFonts w:cs="Arial"/>
        </w:rPr>
        <w:t>particular</w:t>
      </w:r>
      <w:r>
        <w:rPr>
          <w:rFonts w:cs="Arial"/>
        </w:rPr>
        <w:t xml:space="preserve"> </w:t>
      </w:r>
      <w:r w:rsidRPr="000E2EBD">
        <w:rPr>
          <w:rFonts w:cs="Arial"/>
        </w:rPr>
        <w:t xml:space="preserve">ensuring </w:t>
      </w:r>
      <w:r>
        <w:rPr>
          <w:rFonts w:cs="Arial"/>
        </w:rPr>
        <w:t xml:space="preserve">all </w:t>
      </w:r>
      <w:r w:rsidRPr="000E2EBD">
        <w:rPr>
          <w:rFonts w:cs="Arial"/>
        </w:rPr>
        <w:t xml:space="preserve">staff and authorising managers are aware of and apply </w:t>
      </w:r>
      <w:r>
        <w:rPr>
          <w:rFonts w:cs="Arial"/>
        </w:rPr>
        <w:t>the council policies</w:t>
      </w:r>
      <w:r w:rsidRPr="000E2EBD">
        <w:rPr>
          <w:rFonts w:cs="Arial"/>
        </w:rPr>
        <w:t>. In some cases non-compliance has resulted in significant overpayments.</w:t>
      </w:r>
      <w:r>
        <w:rPr>
          <w:rFonts w:cs="Arial"/>
        </w:rPr>
        <w:t xml:space="preserve"> For example t</w:t>
      </w:r>
      <w:r w:rsidRPr="000E2EBD">
        <w:rPr>
          <w:rFonts w:cs="Arial"/>
        </w:rPr>
        <w:t>he maximum limits have been exceeded for overnight accommodation and evening meals</w:t>
      </w:r>
      <w:r>
        <w:rPr>
          <w:rFonts w:cs="Arial"/>
        </w:rPr>
        <w:t xml:space="preserve">, and </w:t>
      </w:r>
      <w:r w:rsidRPr="000E2EBD">
        <w:rPr>
          <w:rFonts w:cs="Arial"/>
        </w:rPr>
        <w:t xml:space="preserve">17 individuals </w:t>
      </w:r>
      <w:r>
        <w:rPr>
          <w:rFonts w:cs="Arial"/>
        </w:rPr>
        <w:t xml:space="preserve">in </w:t>
      </w:r>
      <w:r w:rsidRPr="000E2EBD">
        <w:rPr>
          <w:rFonts w:cs="Arial"/>
        </w:rPr>
        <w:t xml:space="preserve">CYP's Residential Care Service have been overpaid excess travel </w:t>
      </w:r>
      <w:r>
        <w:rPr>
          <w:rFonts w:cs="Arial"/>
        </w:rPr>
        <w:t xml:space="preserve">allowances </w:t>
      </w:r>
      <w:r w:rsidRPr="000E2EBD">
        <w:rPr>
          <w:rFonts w:cs="Arial"/>
        </w:rPr>
        <w:t>totalling more than £23,100</w:t>
      </w:r>
      <w:r>
        <w:rPr>
          <w:rFonts w:cs="Arial"/>
        </w:rPr>
        <w:t xml:space="preserve"> over the period </w:t>
      </w:r>
      <w:r w:rsidRPr="002C6572">
        <w:rPr>
          <w:rFonts w:cs="Arial"/>
        </w:rPr>
        <w:t>2011 to 2014.</w:t>
      </w:r>
    </w:p>
    <w:p w:rsidR="00B2622C" w:rsidRPr="00B2622C" w:rsidRDefault="00B2622C" w:rsidP="00BD77F1">
      <w:pPr>
        <w:pStyle w:val="ListParagraph"/>
        <w:numPr>
          <w:ilvl w:val="1"/>
          <w:numId w:val="2"/>
        </w:numPr>
        <w:spacing w:before="120" w:after="120"/>
        <w:contextualSpacing w:val="0"/>
        <w:rPr>
          <w:rFonts w:cs="Arial"/>
        </w:rPr>
      </w:pPr>
      <w:r w:rsidRPr="009F62DD">
        <w:rPr>
          <w:rFonts w:cs="Arial"/>
        </w:rPr>
        <w:t>A draft</w:t>
      </w:r>
      <w:r w:rsidRPr="002C6572">
        <w:rPr>
          <w:rFonts w:cs="Arial"/>
        </w:rPr>
        <w:t xml:space="preserve"> policy for the recovery of overpayments to employees relating to salary, allowances, overtime and expense claims is to be considered by Management Team and the trades unions through</w:t>
      </w:r>
      <w:r w:rsidRPr="00BD77F1">
        <w:rPr>
          <w:rFonts w:cs="Arial"/>
        </w:rPr>
        <w:t xml:space="preserve"> the Joint Negotiating and Consultative </w:t>
      </w:r>
      <w:r w:rsidRPr="00BD77F1">
        <w:rPr>
          <w:rFonts w:cs="Arial"/>
        </w:rPr>
        <w:lastRenderedPageBreak/>
        <w:t>Forum process with a view to a policy being agreed by Employment Committee.</w:t>
      </w:r>
      <w:r w:rsidRPr="001279B0">
        <w:rPr>
          <w:rFonts w:cs="Arial"/>
        </w:rPr>
        <w:t xml:space="preserve"> Although all employment contracts state that the council is able to recoup overpayments, the method, timing, circumstances and obligations of the employee have not yet been fully defined.</w:t>
      </w:r>
      <w:r>
        <w:rPr>
          <w:rFonts w:cs="Arial"/>
        </w:rPr>
        <w:t xml:space="preserve"> When overpayments are found to have been made they are not always pursued or pursued promptly.</w:t>
      </w:r>
    </w:p>
    <w:p w:rsidR="008C0C4D" w:rsidRPr="00D777AA" w:rsidRDefault="008C0C4D" w:rsidP="00B2622C">
      <w:pPr>
        <w:spacing w:before="120" w:after="120"/>
        <w:rPr>
          <w:rFonts w:cs="Arial"/>
          <w:i/>
        </w:rPr>
      </w:pPr>
      <w:r w:rsidRPr="00D777AA">
        <w:rPr>
          <w:rFonts w:cs="Arial"/>
          <w:b/>
          <w:i/>
        </w:rPr>
        <w:t xml:space="preserve">General ledger: </w:t>
      </w:r>
      <w:r w:rsidRPr="00D777AA">
        <w:rPr>
          <w:rFonts w:cs="Arial"/>
          <w:i/>
        </w:rPr>
        <w:t>substantial assurance</w:t>
      </w:r>
    </w:p>
    <w:p w:rsidR="008C0C4D" w:rsidRDefault="008C0C4D" w:rsidP="00BD77F1">
      <w:pPr>
        <w:pStyle w:val="ListParagraph"/>
        <w:numPr>
          <w:ilvl w:val="1"/>
          <w:numId w:val="2"/>
        </w:numPr>
        <w:spacing w:before="120" w:after="120"/>
        <w:contextualSpacing w:val="0"/>
        <w:rPr>
          <w:rFonts w:cs="Arial"/>
        </w:rPr>
      </w:pPr>
      <w:r w:rsidRPr="00D777AA">
        <w:rPr>
          <w:rFonts w:cs="Arial"/>
        </w:rPr>
        <w:t>Overall, there are effective and comprehensive</w:t>
      </w:r>
      <w:r w:rsidRPr="005C2DF1">
        <w:rPr>
          <w:rFonts w:cs="Arial"/>
        </w:rPr>
        <w:t xml:space="preserve"> controls in place </w:t>
      </w:r>
      <w:r>
        <w:rPr>
          <w:rFonts w:cs="Arial"/>
        </w:rPr>
        <w:t>over the operation of the general ledger. We identified few issues, but note the need to revoke a limited number of inappropriate system user access rights, to adhere to the journal naming convention, and to improve the format and frequency of some control account reconciliations.</w:t>
      </w:r>
    </w:p>
    <w:p w:rsidR="008C0C4D" w:rsidRDefault="008C0C4D" w:rsidP="00BD77F1">
      <w:pPr>
        <w:spacing w:before="120" w:after="120"/>
        <w:rPr>
          <w:rFonts w:cs="Arial"/>
          <w:i/>
        </w:rPr>
      </w:pPr>
      <w:r w:rsidRPr="007A0174">
        <w:rPr>
          <w:rFonts w:cs="Arial"/>
          <w:b/>
          <w:i/>
        </w:rPr>
        <w:t>Payroll</w:t>
      </w:r>
      <w:r>
        <w:rPr>
          <w:rFonts w:cs="Arial"/>
          <w:b/>
          <w:i/>
        </w:rPr>
        <w:t xml:space="preserve">: </w:t>
      </w:r>
      <w:r w:rsidRPr="001B190B">
        <w:rPr>
          <w:rFonts w:cs="Arial"/>
          <w:i/>
        </w:rPr>
        <w:t>substantial assurance</w:t>
      </w:r>
    </w:p>
    <w:p w:rsidR="008C0C4D" w:rsidRPr="00BD77F1" w:rsidRDefault="008C0C4D" w:rsidP="00BD77F1">
      <w:pPr>
        <w:pStyle w:val="ListParagraph"/>
        <w:numPr>
          <w:ilvl w:val="1"/>
          <w:numId w:val="2"/>
        </w:numPr>
        <w:spacing w:before="120" w:after="120"/>
        <w:contextualSpacing w:val="0"/>
        <w:rPr>
          <w:rFonts w:cs="Arial"/>
        </w:rPr>
      </w:pPr>
      <w:r w:rsidRPr="00BD77F1">
        <w:rPr>
          <w:rFonts w:cs="Arial"/>
        </w:rPr>
        <w:t>The LCC payroll processes approximately 42,000 individual BACS payments to employees of the county council and the county's schools each month, amounting to approximately £44 million.</w:t>
      </w:r>
      <w:r w:rsidR="00BD77F1" w:rsidRPr="00BD77F1">
        <w:rPr>
          <w:rFonts w:cs="Arial"/>
        </w:rPr>
        <w:t xml:space="preserve"> </w:t>
      </w:r>
      <w:r w:rsidRPr="00BD77F1">
        <w:rPr>
          <w:rFonts w:cs="Arial"/>
        </w:rPr>
        <w:t xml:space="preserve">We can provide substantial assurance over the processes controlling </w:t>
      </w:r>
      <w:r w:rsidR="00BD77F1" w:rsidRPr="00BD77F1">
        <w:rPr>
          <w:rFonts w:cs="Arial"/>
        </w:rPr>
        <w:t xml:space="preserve">payroll </w:t>
      </w:r>
      <w:r w:rsidRPr="00BD77F1">
        <w:rPr>
          <w:rFonts w:cs="Arial"/>
        </w:rPr>
        <w:t>payments</w:t>
      </w:r>
      <w:r w:rsidR="00BD77F1" w:rsidRPr="00BD77F1">
        <w:rPr>
          <w:rFonts w:cs="Arial"/>
        </w:rPr>
        <w:t>, including</w:t>
      </w:r>
      <w:r w:rsidRPr="00BD77F1">
        <w:rPr>
          <w:rFonts w:cs="Arial"/>
        </w:rPr>
        <w:t xml:space="preserve"> payments to starters and leavers</w:t>
      </w:r>
      <w:r w:rsidR="00BD77F1" w:rsidRPr="00BD77F1">
        <w:rPr>
          <w:rFonts w:cs="Arial"/>
        </w:rPr>
        <w:t>,</w:t>
      </w:r>
      <w:r w:rsidRPr="00BD77F1">
        <w:rPr>
          <w:rFonts w:cs="Arial"/>
        </w:rPr>
        <w:t xml:space="preserve"> and </w:t>
      </w:r>
      <w:r w:rsidR="00BD77F1" w:rsidRPr="00BD77F1">
        <w:rPr>
          <w:rFonts w:cs="Arial"/>
        </w:rPr>
        <w:t xml:space="preserve">the </w:t>
      </w:r>
      <w:r w:rsidRPr="00BD77F1">
        <w:rPr>
          <w:rFonts w:cs="Arial"/>
        </w:rPr>
        <w:t>statutory and voluntary deductions made</w:t>
      </w:r>
      <w:r w:rsidR="00BD77F1" w:rsidRPr="00BD77F1">
        <w:rPr>
          <w:rFonts w:cs="Arial"/>
        </w:rPr>
        <w:t xml:space="preserve"> from them</w:t>
      </w:r>
      <w:r w:rsidRPr="00BD77F1">
        <w:rPr>
          <w:rFonts w:cs="Arial"/>
        </w:rPr>
        <w:t>.</w:t>
      </w:r>
    </w:p>
    <w:p w:rsidR="008C0C4D" w:rsidRPr="005B1900" w:rsidRDefault="008C0C4D" w:rsidP="00BD77F1">
      <w:pPr>
        <w:pStyle w:val="ListParagraph"/>
        <w:numPr>
          <w:ilvl w:val="1"/>
          <w:numId w:val="2"/>
        </w:numPr>
        <w:spacing w:before="120" w:after="120"/>
        <w:contextualSpacing w:val="0"/>
        <w:rPr>
          <w:rFonts w:cs="Arial"/>
        </w:rPr>
      </w:pPr>
      <w:r>
        <w:rPr>
          <w:rFonts w:cs="Arial"/>
        </w:rPr>
        <w:t xml:space="preserve">Given the scale of the payments processed, it is to be expected that minor errors will arise due to human error by both managers and the payroll processing team. The errors we found </w:t>
      </w:r>
      <w:r w:rsidRPr="005B1900">
        <w:rPr>
          <w:rFonts w:cs="Arial"/>
        </w:rPr>
        <w:t>as a result of testing</w:t>
      </w:r>
      <w:r>
        <w:rPr>
          <w:rFonts w:cs="Arial"/>
        </w:rPr>
        <w:t>, relating to honoraria payments,</w:t>
      </w:r>
      <w:r w:rsidRPr="005B1900">
        <w:rPr>
          <w:rFonts w:cs="Arial"/>
        </w:rPr>
        <w:t xml:space="preserve"> </w:t>
      </w:r>
      <w:r>
        <w:rPr>
          <w:rFonts w:cs="Arial"/>
        </w:rPr>
        <w:t>were trifling in both number and value</w:t>
      </w:r>
      <w:r w:rsidR="00BD77F1">
        <w:rPr>
          <w:rFonts w:cs="Arial"/>
        </w:rPr>
        <w:t xml:space="preserve"> but o</w:t>
      </w:r>
      <w:r>
        <w:rPr>
          <w:rFonts w:cs="Arial"/>
        </w:rPr>
        <w:t>verpayments have been referred to payroll for recovery. We understand that the entire honorarium process is to be reviewed during 2015/16 to improve efficiencies and ensure that over</w:t>
      </w:r>
      <w:r w:rsidR="00BD77F1">
        <w:rPr>
          <w:rFonts w:cs="Arial"/>
        </w:rPr>
        <w:t>-</w:t>
      </w:r>
      <w:r>
        <w:rPr>
          <w:rFonts w:cs="Arial"/>
        </w:rPr>
        <w:t xml:space="preserve"> or under</w:t>
      </w:r>
      <w:r w:rsidR="00BD77F1">
        <w:rPr>
          <w:rFonts w:cs="Arial"/>
        </w:rPr>
        <w:t>-</w:t>
      </w:r>
      <w:r>
        <w:rPr>
          <w:rFonts w:cs="Arial"/>
        </w:rPr>
        <w:t>payments are eliminated in future.</w:t>
      </w:r>
    </w:p>
    <w:p w:rsidR="008C0C4D" w:rsidRDefault="008C0C4D" w:rsidP="00BD77F1">
      <w:pPr>
        <w:pStyle w:val="ListParagraph"/>
        <w:numPr>
          <w:ilvl w:val="1"/>
          <w:numId w:val="2"/>
        </w:numPr>
        <w:spacing w:before="120" w:after="120"/>
        <w:contextualSpacing w:val="0"/>
        <w:rPr>
          <w:rFonts w:cs="Arial"/>
        </w:rPr>
      </w:pPr>
      <w:r w:rsidRPr="005B1900">
        <w:rPr>
          <w:rFonts w:cs="Arial"/>
        </w:rPr>
        <w:t xml:space="preserve">As with </w:t>
      </w:r>
      <w:r>
        <w:rPr>
          <w:rFonts w:cs="Arial"/>
        </w:rPr>
        <w:t xml:space="preserve">other elements of the Oracle system, there are issues with </w:t>
      </w:r>
      <w:r w:rsidRPr="005B1900">
        <w:rPr>
          <w:rFonts w:cs="Arial"/>
        </w:rPr>
        <w:t xml:space="preserve">regard to </w:t>
      </w:r>
      <w:r>
        <w:rPr>
          <w:rFonts w:cs="Arial"/>
        </w:rPr>
        <w:t>access rights to the Oracle HR/ Payroll system. W</w:t>
      </w:r>
      <w:r w:rsidRPr="005B1900">
        <w:rPr>
          <w:rFonts w:cs="Arial"/>
        </w:rPr>
        <w:t xml:space="preserve">e found that </w:t>
      </w:r>
      <w:r>
        <w:rPr>
          <w:rFonts w:cs="Arial"/>
        </w:rPr>
        <w:t xml:space="preserve">29 individuals had inappropriate access </w:t>
      </w:r>
      <w:r w:rsidRPr="005B1900">
        <w:rPr>
          <w:rFonts w:cs="Arial"/>
        </w:rPr>
        <w:t xml:space="preserve">rights </w:t>
      </w:r>
      <w:r>
        <w:rPr>
          <w:rFonts w:cs="Arial"/>
        </w:rPr>
        <w:t>to the system, and 30 others had access to data that should no longer be held relating to employees of an external organisation. Following</w:t>
      </w:r>
      <w:r w:rsidRPr="005B1900">
        <w:rPr>
          <w:rFonts w:cs="Arial"/>
        </w:rPr>
        <w:t xml:space="preserve"> the audit, </w:t>
      </w:r>
      <w:r>
        <w:rPr>
          <w:rFonts w:cs="Arial"/>
        </w:rPr>
        <w:t xml:space="preserve">access to </w:t>
      </w:r>
      <w:r w:rsidRPr="005B1900">
        <w:rPr>
          <w:rFonts w:cs="Arial"/>
        </w:rPr>
        <w:t>the accounts of these users ha</w:t>
      </w:r>
      <w:r>
        <w:rPr>
          <w:rFonts w:cs="Arial"/>
        </w:rPr>
        <w:t>s</w:t>
      </w:r>
      <w:r w:rsidRPr="005B1900">
        <w:rPr>
          <w:rFonts w:cs="Arial"/>
        </w:rPr>
        <w:t xml:space="preserve"> </w:t>
      </w:r>
      <w:r>
        <w:rPr>
          <w:rFonts w:cs="Arial"/>
        </w:rPr>
        <w:t xml:space="preserve">been </w:t>
      </w:r>
      <w:r w:rsidRPr="005B1900">
        <w:rPr>
          <w:rFonts w:cs="Arial"/>
        </w:rPr>
        <w:t xml:space="preserve">revoked </w:t>
      </w:r>
      <w:r>
        <w:rPr>
          <w:rFonts w:cs="Arial"/>
        </w:rPr>
        <w:t xml:space="preserve">or </w:t>
      </w:r>
      <w:r w:rsidRPr="005B1900">
        <w:rPr>
          <w:rFonts w:cs="Arial"/>
        </w:rPr>
        <w:t>disabled</w:t>
      </w:r>
      <w:r>
        <w:rPr>
          <w:rFonts w:cs="Arial"/>
        </w:rPr>
        <w:t xml:space="preserve"> as appropriate</w:t>
      </w:r>
      <w:r w:rsidRPr="005B1900">
        <w:rPr>
          <w:rFonts w:cs="Arial"/>
        </w:rPr>
        <w:t>.</w:t>
      </w:r>
    </w:p>
    <w:p w:rsidR="008C0C4D" w:rsidRPr="007A0174" w:rsidRDefault="008C0C4D" w:rsidP="00BD77F1">
      <w:pPr>
        <w:spacing w:before="120" w:after="120"/>
        <w:rPr>
          <w:rFonts w:cs="Arial"/>
          <w:b/>
          <w:i/>
        </w:rPr>
      </w:pPr>
      <w:r w:rsidRPr="007A0174">
        <w:rPr>
          <w:rFonts w:cs="Arial"/>
          <w:b/>
          <w:i/>
        </w:rPr>
        <w:t>Payroll additional payments</w:t>
      </w:r>
      <w:r>
        <w:rPr>
          <w:rFonts w:cs="Arial"/>
          <w:b/>
          <w:i/>
        </w:rPr>
        <w:t xml:space="preserve">: </w:t>
      </w:r>
      <w:r w:rsidRPr="002F23A5">
        <w:rPr>
          <w:rFonts w:cs="Arial"/>
          <w:i/>
        </w:rPr>
        <w:t>substantial</w:t>
      </w:r>
      <w:r>
        <w:rPr>
          <w:rFonts w:cs="Arial"/>
          <w:i/>
        </w:rPr>
        <w:t xml:space="preserve"> </w:t>
      </w:r>
      <w:r w:rsidRPr="0076166E">
        <w:rPr>
          <w:rFonts w:cs="Arial"/>
          <w:i/>
        </w:rPr>
        <w:t>assurance</w:t>
      </w:r>
    </w:p>
    <w:p w:rsidR="00BD77F1" w:rsidRPr="00BD77F1" w:rsidRDefault="00BD77F1" w:rsidP="00BD77F1">
      <w:pPr>
        <w:pStyle w:val="ListParagraph"/>
        <w:numPr>
          <w:ilvl w:val="1"/>
          <w:numId w:val="2"/>
        </w:numPr>
        <w:spacing w:before="120" w:after="120"/>
        <w:contextualSpacing w:val="0"/>
        <w:rPr>
          <w:rFonts w:cs="Arial"/>
        </w:rPr>
      </w:pPr>
      <w:r w:rsidRPr="00BD77F1">
        <w:rPr>
          <w:rFonts w:cs="Arial"/>
        </w:rPr>
        <w:t>W</w:t>
      </w:r>
      <w:r w:rsidR="008C0C4D" w:rsidRPr="00BD77F1">
        <w:rPr>
          <w:rFonts w:cs="Arial"/>
        </w:rPr>
        <w:t xml:space="preserve">e have provided substantial assurance that additional payments to staff through the payroll but beyond their normal salary payments are effectively controlled. However it is not clear that the risk that staff work excessive hours is adequately managed, or that reimbursement is properly achieved from the NHS where appropriate. </w:t>
      </w:r>
      <w:r w:rsidRPr="00BD77F1">
        <w:rPr>
          <w:rFonts w:cs="Arial"/>
        </w:rPr>
        <w:t xml:space="preserve">The council is </w:t>
      </w:r>
      <w:r>
        <w:rPr>
          <w:rFonts w:cs="Arial"/>
        </w:rPr>
        <w:t xml:space="preserve">also </w:t>
      </w:r>
      <w:r w:rsidRPr="00BD77F1">
        <w:rPr>
          <w:rFonts w:cs="Arial"/>
        </w:rPr>
        <w:t>aware of an issue relating to allowances for officers working shifts in its Adult Disability Provider Services and is working to resolve this because its financial implications are significant. It is estimated on basis of work done by management to date that these over</w:t>
      </w:r>
      <w:r>
        <w:rPr>
          <w:rFonts w:cs="Arial"/>
        </w:rPr>
        <w:t>-</w:t>
      </w:r>
      <w:r w:rsidRPr="00BD77F1">
        <w:rPr>
          <w:rFonts w:cs="Arial"/>
        </w:rPr>
        <w:t>p</w:t>
      </w:r>
      <w:r>
        <w:rPr>
          <w:rFonts w:cs="Arial"/>
        </w:rPr>
        <w:t>ayments amount to £2.3 million.</w:t>
      </w:r>
    </w:p>
    <w:p w:rsidR="008C0C4D" w:rsidRPr="007A0174" w:rsidRDefault="008C0C4D" w:rsidP="00065364">
      <w:pPr>
        <w:spacing w:before="120" w:after="120"/>
        <w:rPr>
          <w:rFonts w:cs="Arial"/>
          <w:b/>
          <w:i/>
        </w:rPr>
      </w:pPr>
      <w:r>
        <w:rPr>
          <w:rFonts w:cs="Arial"/>
          <w:b/>
          <w:i/>
        </w:rPr>
        <w:t xml:space="preserve">Treasury management: </w:t>
      </w:r>
      <w:r w:rsidRPr="002F23A5">
        <w:rPr>
          <w:rFonts w:cs="Arial"/>
          <w:i/>
        </w:rPr>
        <w:t>substantial</w:t>
      </w:r>
      <w:r>
        <w:rPr>
          <w:rFonts w:cs="Arial"/>
          <w:i/>
        </w:rPr>
        <w:t xml:space="preserve"> </w:t>
      </w:r>
      <w:r w:rsidRPr="0076166E">
        <w:rPr>
          <w:rFonts w:cs="Arial"/>
          <w:i/>
        </w:rPr>
        <w:t>assurance</w:t>
      </w:r>
    </w:p>
    <w:p w:rsidR="008C0C4D" w:rsidRDefault="008C0C4D" w:rsidP="00065364">
      <w:pPr>
        <w:pStyle w:val="ListParagraph"/>
        <w:numPr>
          <w:ilvl w:val="1"/>
          <w:numId w:val="2"/>
        </w:numPr>
        <w:spacing w:before="120" w:after="120"/>
        <w:contextualSpacing w:val="0"/>
        <w:rPr>
          <w:rFonts w:cs="Arial"/>
        </w:rPr>
      </w:pPr>
      <w:r>
        <w:rPr>
          <w:rFonts w:cs="Arial"/>
        </w:rPr>
        <w:t>We have provided substantial assurance over the council's treasury management function.  We found no issues to report in terms of reported treasury management activity, cash flow forecasting, approval of treasury management transactions (other than a limited number of minor sign-off issues), or segregation of duties over key investment transactional controls.</w:t>
      </w:r>
    </w:p>
    <w:p w:rsidR="008C0C4D" w:rsidRPr="00B458B4" w:rsidRDefault="008C0C4D" w:rsidP="00065364">
      <w:pPr>
        <w:spacing w:before="120" w:after="120"/>
        <w:rPr>
          <w:rFonts w:cs="Arial"/>
          <w:b/>
          <w:i/>
        </w:rPr>
      </w:pPr>
      <w:r w:rsidRPr="00B458B4">
        <w:rPr>
          <w:rFonts w:cs="Arial"/>
          <w:b/>
          <w:i/>
        </w:rPr>
        <w:lastRenderedPageBreak/>
        <w:t>VAT</w:t>
      </w:r>
      <w:r>
        <w:rPr>
          <w:rFonts w:cs="Arial"/>
          <w:b/>
          <w:i/>
        </w:rPr>
        <w:t xml:space="preserve">: </w:t>
      </w:r>
      <w:r w:rsidRPr="002F23A5">
        <w:rPr>
          <w:rFonts w:cs="Arial"/>
          <w:i/>
        </w:rPr>
        <w:t>substantial</w:t>
      </w:r>
      <w:r>
        <w:rPr>
          <w:rFonts w:cs="Arial"/>
          <w:i/>
        </w:rPr>
        <w:t xml:space="preserve"> </w:t>
      </w:r>
      <w:r w:rsidRPr="0076166E">
        <w:rPr>
          <w:rFonts w:cs="Arial"/>
          <w:i/>
        </w:rPr>
        <w:t>assurance</w:t>
      </w:r>
    </w:p>
    <w:p w:rsidR="008C0C4D" w:rsidRPr="00913776" w:rsidRDefault="008C0C4D" w:rsidP="00065364">
      <w:pPr>
        <w:pStyle w:val="ListParagraph"/>
        <w:numPr>
          <w:ilvl w:val="1"/>
          <w:numId w:val="2"/>
        </w:numPr>
        <w:spacing w:before="120" w:after="120"/>
        <w:contextualSpacing w:val="0"/>
        <w:rPr>
          <w:rFonts w:cs="Arial"/>
        </w:rPr>
      </w:pPr>
      <w:r w:rsidRPr="00B458B4">
        <w:rPr>
          <w:rFonts w:cs="Arial"/>
        </w:rPr>
        <w:t>We have provided substantial assurance over this area with no significant issues emerging</w:t>
      </w:r>
      <w:r>
        <w:rPr>
          <w:rFonts w:cs="Arial"/>
        </w:rPr>
        <w:t>,</w:t>
      </w:r>
      <w:r w:rsidRPr="00B458B4">
        <w:rPr>
          <w:rFonts w:cs="Arial"/>
        </w:rPr>
        <w:t xml:space="preserve"> although there are a num</w:t>
      </w:r>
      <w:r>
        <w:rPr>
          <w:rFonts w:cs="Arial"/>
        </w:rPr>
        <w:t xml:space="preserve">ber of coding errors each month, </w:t>
      </w:r>
      <w:r w:rsidRPr="00B458B4">
        <w:rPr>
          <w:rFonts w:cs="Arial"/>
        </w:rPr>
        <w:t>anomalies in the system that need to be resolved</w:t>
      </w:r>
      <w:r>
        <w:rPr>
          <w:rFonts w:cs="Arial"/>
        </w:rPr>
        <w:t>, and a need to ensure that self-billing arrangements are compliant with HMRC's record-keeping requirements.</w:t>
      </w:r>
    </w:p>
    <w:p w:rsidR="008C0C4D" w:rsidRPr="007A0174" w:rsidRDefault="008C0C4D" w:rsidP="003F723A">
      <w:pPr>
        <w:spacing w:before="120" w:after="120"/>
        <w:rPr>
          <w:rFonts w:cs="Arial"/>
        </w:rPr>
      </w:pPr>
      <w:r w:rsidRPr="007A0174">
        <w:rPr>
          <w:rFonts w:cs="Arial"/>
          <w:b/>
        </w:rPr>
        <w:t>Human resources controls</w:t>
      </w:r>
    </w:p>
    <w:p w:rsidR="008C0C4D" w:rsidRPr="007A0174" w:rsidRDefault="008C0C4D" w:rsidP="003F723A">
      <w:pPr>
        <w:spacing w:before="120" w:after="120"/>
        <w:rPr>
          <w:rFonts w:cs="Arial"/>
          <w:b/>
          <w:i/>
        </w:rPr>
      </w:pPr>
      <w:r w:rsidRPr="007A0174">
        <w:rPr>
          <w:rFonts w:cs="Arial"/>
          <w:b/>
          <w:i/>
        </w:rPr>
        <w:t>Hierarchies in the Oracle HR/ Payroll system</w:t>
      </w:r>
    </w:p>
    <w:p w:rsidR="003F723A" w:rsidRPr="003F723A" w:rsidRDefault="008C0C4D" w:rsidP="003F723A">
      <w:pPr>
        <w:pStyle w:val="ListParagraph"/>
        <w:numPr>
          <w:ilvl w:val="1"/>
          <w:numId w:val="2"/>
        </w:numPr>
        <w:spacing w:before="120" w:after="120"/>
        <w:contextualSpacing w:val="0"/>
        <w:rPr>
          <w:rFonts w:cs="Arial"/>
        </w:rPr>
      </w:pPr>
      <w:r w:rsidRPr="003F723A">
        <w:rPr>
          <w:rFonts w:cs="Arial"/>
        </w:rPr>
        <w:t xml:space="preserve">A project team is working to ensure that the establishment hierarchies for the year 2015/16 are correct in the Oracle HR/ Payroll system. This work is taking place alongside additional projects to ensure that the council transitions from its old management structure to its new structure, and the Internal Audit Service has been represented at recent project meetings.  The team involved </w:t>
      </w:r>
      <w:r w:rsidR="003F723A" w:rsidRPr="003F723A">
        <w:rPr>
          <w:rFonts w:cs="Arial"/>
        </w:rPr>
        <w:t>wa</w:t>
      </w:r>
      <w:r w:rsidRPr="003F723A">
        <w:rPr>
          <w:rFonts w:cs="Arial"/>
        </w:rPr>
        <w:t xml:space="preserve">s clearly committed to ensuring that the council </w:t>
      </w:r>
      <w:r w:rsidR="003F723A" w:rsidRPr="003F723A">
        <w:rPr>
          <w:rFonts w:cs="Arial"/>
        </w:rPr>
        <w:t>was</w:t>
      </w:r>
      <w:r w:rsidRPr="003F723A">
        <w:rPr>
          <w:rFonts w:cs="Arial"/>
        </w:rPr>
        <w:t xml:space="preserve"> ready to operate its new structure from 1 April 2015 </w:t>
      </w:r>
      <w:r w:rsidR="003F723A" w:rsidRPr="003F723A">
        <w:rPr>
          <w:rFonts w:cs="Arial"/>
        </w:rPr>
        <w:t xml:space="preserve">and this objective was achieved. </w:t>
      </w:r>
    </w:p>
    <w:p w:rsidR="00EB3E44" w:rsidRDefault="00EB3E44" w:rsidP="003F723A">
      <w:pPr>
        <w:spacing w:before="120" w:after="120"/>
        <w:rPr>
          <w:rFonts w:cs="Arial"/>
          <w:b/>
        </w:rPr>
      </w:pPr>
      <w:r>
        <w:rPr>
          <w:rFonts w:cs="Arial"/>
          <w:b/>
        </w:rPr>
        <w:t>ICT controls</w:t>
      </w:r>
    </w:p>
    <w:p w:rsidR="00EB3E44" w:rsidRPr="006A659E" w:rsidRDefault="00EB3E44" w:rsidP="003F723A">
      <w:pPr>
        <w:spacing w:before="120" w:after="120"/>
        <w:rPr>
          <w:rFonts w:cs="Arial"/>
          <w:i/>
        </w:rPr>
      </w:pPr>
      <w:r w:rsidRPr="006A659E">
        <w:rPr>
          <w:rFonts w:cs="Arial"/>
          <w:b/>
          <w:i/>
        </w:rPr>
        <w:t xml:space="preserve">Network user management: </w:t>
      </w:r>
      <w:r w:rsidRPr="006A659E">
        <w:rPr>
          <w:rFonts w:cs="Arial"/>
          <w:i/>
        </w:rPr>
        <w:t>substantial assurance</w:t>
      </w:r>
    </w:p>
    <w:p w:rsidR="00EB3E44" w:rsidRPr="00F106C0" w:rsidRDefault="00EB3E44" w:rsidP="00D77466">
      <w:pPr>
        <w:pStyle w:val="ListParagraph"/>
        <w:numPr>
          <w:ilvl w:val="1"/>
          <w:numId w:val="2"/>
        </w:numPr>
        <w:spacing w:before="120" w:after="120"/>
        <w:contextualSpacing w:val="0"/>
        <w:rPr>
          <w:rFonts w:cs="Arial"/>
        </w:rPr>
      </w:pPr>
      <w:r w:rsidRPr="00F106C0">
        <w:rPr>
          <w:rFonts w:cs="Arial"/>
        </w:rPr>
        <w:t>BTLS has</w:t>
      </w:r>
      <w:r w:rsidR="00800AD1" w:rsidRPr="00F106C0">
        <w:rPr>
          <w:rFonts w:cs="Arial"/>
        </w:rPr>
        <w:t xml:space="preserve"> </w:t>
      </w:r>
      <w:r w:rsidRPr="00F106C0">
        <w:rPr>
          <w:rFonts w:cs="Arial"/>
        </w:rPr>
        <w:t xml:space="preserve">taken significant steps to cleanse </w:t>
      </w:r>
      <w:r w:rsidR="00800AD1" w:rsidRPr="00F106C0">
        <w:rPr>
          <w:rFonts w:cs="Arial"/>
        </w:rPr>
        <w:t xml:space="preserve">and reduce the number of active network users </w:t>
      </w:r>
      <w:r w:rsidRPr="00F106C0">
        <w:rPr>
          <w:rFonts w:cs="Arial"/>
        </w:rPr>
        <w:t xml:space="preserve">and </w:t>
      </w:r>
      <w:r w:rsidR="00F106C0">
        <w:rPr>
          <w:rFonts w:cs="Arial"/>
        </w:rPr>
        <w:t xml:space="preserve">to </w:t>
      </w:r>
      <w:r w:rsidRPr="00F106C0">
        <w:rPr>
          <w:rFonts w:cs="Arial"/>
        </w:rPr>
        <w:t xml:space="preserve">ensure that </w:t>
      </w:r>
      <w:r w:rsidR="00800AD1" w:rsidRPr="00F106C0">
        <w:rPr>
          <w:rFonts w:cs="Arial"/>
        </w:rPr>
        <w:t xml:space="preserve">user accounts are disabled as officers leave </w:t>
      </w:r>
      <w:r w:rsidRPr="00F106C0">
        <w:rPr>
          <w:rFonts w:cs="Arial"/>
        </w:rPr>
        <w:t>the council</w:t>
      </w:r>
      <w:r w:rsidR="00800AD1" w:rsidRPr="00F106C0">
        <w:rPr>
          <w:rFonts w:cs="Arial"/>
        </w:rPr>
        <w:t>'s employment</w:t>
      </w:r>
      <w:r w:rsidRPr="00F106C0">
        <w:rPr>
          <w:rFonts w:cs="Arial"/>
        </w:rPr>
        <w:t>.</w:t>
      </w:r>
      <w:r w:rsidR="00800AD1" w:rsidRPr="00F106C0">
        <w:rPr>
          <w:rFonts w:cs="Arial"/>
        </w:rPr>
        <w:t xml:space="preserve"> </w:t>
      </w:r>
      <w:r w:rsidRPr="00F106C0">
        <w:rPr>
          <w:rFonts w:cs="Arial"/>
        </w:rPr>
        <w:t>As at 24 Ma</w:t>
      </w:r>
      <w:r w:rsidR="00800AD1" w:rsidRPr="00F106C0">
        <w:rPr>
          <w:rFonts w:cs="Arial"/>
        </w:rPr>
        <w:t xml:space="preserve">rch 2015, there were 107,540 </w:t>
      </w:r>
      <w:r w:rsidRPr="00F106C0">
        <w:rPr>
          <w:rFonts w:cs="Arial"/>
        </w:rPr>
        <w:t xml:space="preserve">log-in accounts, </w:t>
      </w:r>
      <w:r w:rsidR="00800AD1" w:rsidRPr="00F106C0">
        <w:rPr>
          <w:rFonts w:cs="Arial"/>
        </w:rPr>
        <w:t xml:space="preserve">but </w:t>
      </w:r>
      <w:r w:rsidRPr="00F106C0">
        <w:rPr>
          <w:rFonts w:cs="Arial"/>
        </w:rPr>
        <w:t>94,626 had been disabled</w:t>
      </w:r>
      <w:r w:rsidR="00800AD1" w:rsidRPr="00F106C0">
        <w:rPr>
          <w:rFonts w:cs="Arial"/>
        </w:rPr>
        <w:t>, leaving fewer than 13,000 active accounts</w:t>
      </w:r>
      <w:r w:rsidRPr="00F106C0">
        <w:rPr>
          <w:rFonts w:cs="Arial"/>
        </w:rPr>
        <w:t xml:space="preserve">. </w:t>
      </w:r>
      <w:r w:rsidR="00800AD1" w:rsidRPr="00F106C0">
        <w:rPr>
          <w:rFonts w:cs="Arial"/>
        </w:rPr>
        <w:t>The impact of permanently deleting these disabled accounts is</w:t>
      </w:r>
      <w:r w:rsidR="00F106C0" w:rsidRPr="00F106C0">
        <w:rPr>
          <w:rFonts w:cs="Arial"/>
        </w:rPr>
        <w:t xml:space="preserve"> now</w:t>
      </w:r>
      <w:r w:rsidR="00800AD1" w:rsidRPr="00F106C0">
        <w:rPr>
          <w:rFonts w:cs="Arial"/>
        </w:rPr>
        <w:t xml:space="preserve"> being considered</w:t>
      </w:r>
      <w:r w:rsidR="00F106C0" w:rsidRPr="00F106C0">
        <w:rPr>
          <w:rFonts w:cs="Arial"/>
        </w:rPr>
        <w:t xml:space="preserve">. </w:t>
      </w:r>
      <w:r w:rsidRPr="00F106C0">
        <w:rPr>
          <w:rFonts w:cs="Arial"/>
        </w:rPr>
        <w:t>Sample testing indicate</w:t>
      </w:r>
      <w:r w:rsidR="00FA326F" w:rsidRPr="00F106C0">
        <w:rPr>
          <w:rFonts w:cs="Arial"/>
        </w:rPr>
        <w:t>s</w:t>
      </w:r>
      <w:r w:rsidRPr="00F106C0">
        <w:rPr>
          <w:rFonts w:cs="Arial"/>
        </w:rPr>
        <w:t xml:space="preserve"> that </w:t>
      </w:r>
      <w:r w:rsidR="00F106C0" w:rsidRPr="00F106C0">
        <w:rPr>
          <w:rFonts w:cs="Arial"/>
        </w:rPr>
        <w:t xml:space="preserve">leavers' user accounts are now being routinely </w:t>
      </w:r>
      <w:r w:rsidRPr="00F106C0">
        <w:rPr>
          <w:rFonts w:cs="Arial"/>
        </w:rPr>
        <w:t xml:space="preserve">disabled in accordance with weekly </w:t>
      </w:r>
      <w:r w:rsidR="00FA326F" w:rsidRPr="00F106C0">
        <w:rPr>
          <w:rFonts w:cs="Arial"/>
        </w:rPr>
        <w:t xml:space="preserve">reports from the </w:t>
      </w:r>
      <w:r w:rsidRPr="00F106C0">
        <w:rPr>
          <w:rFonts w:cs="Arial"/>
        </w:rPr>
        <w:t>H</w:t>
      </w:r>
      <w:r w:rsidR="00FA326F" w:rsidRPr="00F106C0">
        <w:rPr>
          <w:rFonts w:cs="Arial"/>
        </w:rPr>
        <w:t xml:space="preserve">uman </w:t>
      </w:r>
      <w:r w:rsidRPr="00F106C0">
        <w:rPr>
          <w:rFonts w:cs="Arial"/>
        </w:rPr>
        <w:t>R</w:t>
      </w:r>
      <w:r w:rsidR="00FA326F" w:rsidRPr="00F106C0">
        <w:rPr>
          <w:rFonts w:cs="Arial"/>
        </w:rPr>
        <w:t>esource</w:t>
      </w:r>
      <w:r w:rsidRPr="00F106C0">
        <w:rPr>
          <w:rFonts w:cs="Arial"/>
        </w:rPr>
        <w:t xml:space="preserve"> </w:t>
      </w:r>
      <w:r w:rsidR="00FA326F" w:rsidRPr="00F106C0">
        <w:rPr>
          <w:rFonts w:cs="Arial"/>
        </w:rPr>
        <w:t>Service</w:t>
      </w:r>
      <w:r w:rsidRPr="00F106C0">
        <w:rPr>
          <w:rFonts w:cs="Arial"/>
        </w:rPr>
        <w:t>.</w:t>
      </w:r>
    </w:p>
    <w:p w:rsidR="00EB3E44" w:rsidRPr="00EB3E44" w:rsidRDefault="00FA326F" w:rsidP="00EB3E44">
      <w:pPr>
        <w:pStyle w:val="ListParagraph"/>
        <w:numPr>
          <w:ilvl w:val="1"/>
          <w:numId w:val="2"/>
        </w:numPr>
        <w:spacing w:before="120" w:after="120"/>
        <w:contextualSpacing w:val="0"/>
        <w:rPr>
          <w:szCs w:val="22"/>
        </w:rPr>
      </w:pPr>
      <w:r>
        <w:rPr>
          <w:rFonts w:cs="Arial"/>
        </w:rPr>
        <w:t xml:space="preserve">BTLS's </w:t>
      </w:r>
      <w:r w:rsidR="00EB3E44" w:rsidRPr="00EB3E44">
        <w:rPr>
          <w:rFonts w:cs="Arial"/>
        </w:rPr>
        <w:t xml:space="preserve">ICT Services and the council are also considering the implementation of an identify management system which has the potential to significantly strengthen </w:t>
      </w:r>
      <w:r w:rsidR="00F106C0">
        <w:rPr>
          <w:rFonts w:cs="Arial"/>
        </w:rPr>
        <w:t xml:space="preserve">the efficiency and effectiveness of </w:t>
      </w:r>
      <w:r w:rsidR="00EB3E44" w:rsidRPr="00EB3E44">
        <w:rPr>
          <w:rFonts w:cs="Arial"/>
        </w:rPr>
        <w:t>control</w:t>
      </w:r>
      <w:r w:rsidR="00F106C0">
        <w:rPr>
          <w:rFonts w:cs="Arial"/>
        </w:rPr>
        <w:t>s</w:t>
      </w:r>
      <w:r w:rsidR="00EB3E44" w:rsidRPr="00EB3E44">
        <w:rPr>
          <w:rFonts w:cs="Arial"/>
        </w:rPr>
        <w:t xml:space="preserve"> over </w:t>
      </w:r>
      <w:r>
        <w:rPr>
          <w:rFonts w:cs="Arial"/>
        </w:rPr>
        <w:t xml:space="preserve">users' access to the council's network and </w:t>
      </w:r>
      <w:r w:rsidR="00F106C0">
        <w:rPr>
          <w:rFonts w:cs="Arial"/>
        </w:rPr>
        <w:t xml:space="preserve">individual </w:t>
      </w:r>
      <w:r>
        <w:rPr>
          <w:rFonts w:cs="Arial"/>
        </w:rPr>
        <w:t xml:space="preserve">systems, although it is clear that </w:t>
      </w:r>
      <w:r w:rsidR="00F106C0">
        <w:rPr>
          <w:rFonts w:cs="Arial"/>
        </w:rPr>
        <w:t xml:space="preserve">this would require </w:t>
      </w:r>
      <w:r w:rsidR="00EB3E44" w:rsidRPr="00EB3E44">
        <w:rPr>
          <w:szCs w:val="22"/>
        </w:rPr>
        <w:t>significant resources.</w:t>
      </w:r>
    </w:p>
    <w:p w:rsidR="008C0C4D" w:rsidRPr="003F723A" w:rsidRDefault="008C0C4D" w:rsidP="003F723A">
      <w:pPr>
        <w:spacing w:before="120" w:after="120"/>
        <w:rPr>
          <w:rFonts w:cs="Arial"/>
          <w:b/>
        </w:rPr>
      </w:pPr>
      <w:r w:rsidRPr="003F723A">
        <w:rPr>
          <w:rFonts w:cs="Arial"/>
          <w:b/>
        </w:rPr>
        <w:t>Procurement controls</w:t>
      </w:r>
    </w:p>
    <w:p w:rsidR="008C0C4D" w:rsidRDefault="008C0C4D" w:rsidP="003F723A">
      <w:pPr>
        <w:spacing w:before="120" w:after="120"/>
        <w:rPr>
          <w:rFonts w:cs="Arial"/>
        </w:rPr>
      </w:pPr>
      <w:r w:rsidRPr="001664D8">
        <w:rPr>
          <w:rFonts w:cs="Arial"/>
          <w:b/>
          <w:i/>
        </w:rPr>
        <w:t>Central Procurement</w:t>
      </w:r>
      <w:r>
        <w:rPr>
          <w:rFonts w:cs="Arial"/>
          <w:b/>
          <w:i/>
        </w:rPr>
        <w:t xml:space="preserve">: </w:t>
      </w:r>
      <w:r w:rsidRPr="00434B55">
        <w:rPr>
          <w:rFonts w:cs="Arial"/>
          <w:i/>
        </w:rPr>
        <w:t>substantial assurance</w:t>
      </w:r>
    </w:p>
    <w:p w:rsidR="003F723A" w:rsidRPr="003F723A" w:rsidRDefault="003F723A" w:rsidP="003F723A">
      <w:pPr>
        <w:pStyle w:val="ListParagraph"/>
        <w:numPr>
          <w:ilvl w:val="1"/>
          <w:numId w:val="2"/>
        </w:numPr>
        <w:spacing w:before="120" w:after="120"/>
        <w:contextualSpacing w:val="0"/>
        <w:rPr>
          <w:rFonts w:cs="Arial"/>
        </w:rPr>
      </w:pPr>
      <w:r w:rsidRPr="007F389D">
        <w:rPr>
          <w:rFonts w:cs="Arial"/>
        </w:rPr>
        <w:t xml:space="preserve">A procurement board has been established, a procurement strategy has been approved by Cabinet and a contracts register has been set up. Further, guidance is now available </w:t>
      </w:r>
      <w:r>
        <w:rPr>
          <w:rFonts w:cs="Arial"/>
        </w:rPr>
        <w:t xml:space="preserve">to staff </w:t>
      </w:r>
      <w:r w:rsidRPr="007F389D">
        <w:rPr>
          <w:rFonts w:cs="Arial"/>
        </w:rPr>
        <w:t xml:space="preserve">on the Procurement intranet, which covers the relevant council and EU rules. However we also </w:t>
      </w:r>
      <w:r>
        <w:rPr>
          <w:rFonts w:cs="Arial"/>
        </w:rPr>
        <w:t xml:space="preserve">identified some minor </w:t>
      </w:r>
      <w:r w:rsidRPr="007F389D">
        <w:rPr>
          <w:rFonts w:cs="Arial"/>
        </w:rPr>
        <w:t>instances of non-compliance</w:t>
      </w:r>
      <w:r>
        <w:rPr>
          <w:rFonts w:cs="Arial"/>
        </w:rPr>
        <w:t xml:space="preserve"> with the council's Procurement Standing Orders</w:t>
      </w:r>
      <w:r w:rsidRPr="007F389D">
        <w:rPr>
          <w:rFonts w:cs="Arial"/>
        </w:rPr>
        <w:t xml:space="preserve">, largely relating to record-keeping, sign-off and </w:t>
      </w:r>
      <w:r>
        <w:rPr>
          <w:rFonts w:cs="Arial"/>
        </w:rPr>
        <w:t xml:space="preserve">the </w:t>
      </w:r>
      <w:r w:rsidRPr="007F389D">
        <w:rPr>
          <w:rFonts w:cs="Arial"/>
        </w:rPr>
        <w:t xml:space="preserve">timing </w:t>
      </w:r>
      <w:r>
        <w:rPr>
          <w:rFonts w:cs="Arial"/>
        </w:rPr>
        <w:t xml:space="preserve">of </w:t>
      </w:r>
      <w:r w:rsidRPr="007F389D">
        <w:rPr>
          <w:rFonts w:cs="Arial"/>
        </w:rPr>
        <w:t>approval</w:t>
      </w:r>
      <w:r>
        <w:rPr>
          <w:rFonts w:cs="Arial"/>
        </w:rPr>
        <w:t>s</w:t>
      </w:r>
      <w:r w:rsidRPr="007F389D">
        <w:rPr>
          <w:rFonts w:cs="Arial"/>
        </w:rPr>
        <w:t>.</w:t>
      </w:r>
    </w:p>
    <w:p w:rsidR="008C0C4D" w:rsidRPr="003F723A" w:rsidRDefault="008C0C4D" w:rsidP="003F723A">
      <w:pPr>
        <w:spacing w:before="240" w:after="120"/>
        <w:rPr>
          <w:rFonts w:cs="Arial"/>
          <w:b/>
        </w:rPr>
      </w:pPr>
      <w:r w:rsidRPr="003F723A">
        <w:rPr>
          <w:rFonts w:cs="Arial"/>
          <w:b/>
        </w:rPr>
        <w:t xml:space="preserve">Service specific controls: Adult Services, Health </w:t>
      </w:r>
      <w:r w:rsidR="008C3F7A">
        <w:rPr>
          <w:rFonts w:cs="Arial"/>
          <w:b/>
        </w:rPr>
        <w:t>and Wellbeing Directorate</w:t>
      </w:r>
    </w:p>
    <w:p w:rsidR="008C0C4D" w:rsidRPr="003438CB" w:rsidRDefault="008C0C4D" w:rsidP="003F723A">
      <w:pPr>
        <w:spacing w:before="120" w:after="120"/>
        <w:rPr>
          <w:rFonts w:cs="Arial"/>
          <w:b/>
          <w:i/>
        </w:rPr>
      </w:pPr>
      <w:r w:rsidRPr="003438CB">
        <w:rPr>
          <w:rFonts w:cs="Arial"/>
          <w:b/>
          <w:i/>
        </w:rPr>
        <w:t xml:space="preserve">Initial assessments for direct payments: </w:t>
      </w:r>
      <w:r w:rsidRPr="003438CB">
        <w:rPr>
          <w:rFonts w:cs="Arial"/>
          <w:i/>
        </w:rPr>
        <w:t>substantial assurance</w:t>
      </w:r>
    </w:p>
    <w:p w:rsidR="008C0C4D" w:rsidRDefault="008C0C4D" w:rsidP="003F723A">
      <w:pPr>
        <w:pStyle w:val="ListParagraph"/>
        <w:numPr>
          <w:ilvl w:val="1"/>
          <w:numId w:val="2"/>
        </w:numPr>
        <w:spacing w:before="120" w:after="120"/>
        <w:contextualSpacing w:val="0"/>
        <w:rPr>
          <w:rFonts w:cs="Arial"/>
        </w:rPr>
      </w:pPr>
      <w:r w:rsidRPr="003438CB">
        <w:rPr>
          <w:rFonts w:cs="Arial"/>
        </w:rPr>
        <w:t>Good progress has been made in ensuring that, when direct payment cases are reviewed, due consideration is being given to the capacity of the service users</w:t>
      </w:r>
      <w:r>
        <w:rPr>
          <w:rFonts w:cs="Arial"/>
        </w:rPr>
        <w:t>,</w:t>
      </w:r>
      <w:r w:rsidRPr="003438CB">
        <w:rPr>
          <w:rFonts w:cs="Arial"/>
        </w:rPr>
        <w:t xml:space="preserve"> and mental capacity assessments are being performed as appropriate. In the </w:t>
      </w:r>
      <w:r w:rsidRPr="003438CB">
        <w:rPr>
          <w:rFonts w:cs="Arial"/>
        </w:rPr>
        <w:lastRenderedPageBreak/>
        <w:t xml:space="preserve">majority of cases, direct payments are not being made directly to service users who lack the appropriate capacity to take on the employer responsibilities attached to them. However the controls in place to ensure that an appropriate direct payment agreement </w:t>
      </w:r>
      <w:r>
        <w:rPr>
          <w:rFonts w:cs="Arial"/>
        </w:rPr>
        <w:t xml:space="preserve">document </w:t>
      </w:r>
      <w:r w:rsidRPr="003438CB">
        <w:rPr>
          <w:rFonts w:cs="Arial"/>
        </w:rPr>
        <w:t>is signed and retained</w:t>
      </w:r>
      <w:r>
        <w:rPr>
          <w:rFonts w:cs="Arial"/>
        </w:rPr>
        <w:t>,</w:t>
      </w:r>
      <w:r w:rsidRPr="003438CB">
        <w:rPr>
          <w:rFonts w:cs="Arial"/>
        </w:rPr>
        <w:t xml:space="preserve"> following completion of a mental capacity assessment</w:t>
      </w:r>
      <w:r>
        <w:rPr>
          <w:rFonts w:cs="Arial"/>
        </w:rPr>
        <w:t>,</w:t>
      </w:r>
      <w:r w:rsidRPr="003438CB">
        <w:rPr>
          <w:rFonts w:cs="Arial"/>
        </w:rPr>
        <w:t xml:space="preserve"> are not </w:t>
      </w:r>
      <w:r>
        <w:rPr>
          <w:rFonts w:cs="Arial"/>
        </w:rPr>
        <w:t xml:space="preserve">yet fully </w:t>
      </w:r>
      <w:r w:rsidRPr="003438CB">
        <w:rPr>
          <w:rFonts w:cs="Arial"/>
        </w:rPr>
        <w:t>effective.</w:t>
      </w:r>
    </w:p>
    <w:p w:rsidR="008C0C4D" w:rsidRPr="002C4373" w:rsidRDefault="008C0C4D" w:rsidP="003F723A">
      <w:pPr>
        <w:spacing w:before="120" w:after="120"/>
        <w:rPr>
          <w:rFonts w:cs="Arial"/>
          <w:b/>
          <w:i/>
        </w:rPr>
      </w:pPr>
      <w:proofErr w:type="spellStart"/>
      <w:r w:rsidRPr="002C4373">
        <w:rPr>
          <w:rFonts w:cs="Arial"/>
          <w:b/>
          <w:i/>
        </w:rPr>
        <w:t>Reablement</w:t>
      </w:r>
      <w:proofErr w:type="spellEnd"/>
      <w:r w:rsidRPr="002C4373">
        <w:rPr>
          <w:rFonts w:cs="Arial"/>
          <w:b/>
          <w:i/>
        </w:rPr>
        <w:t xml:space="preserve">: </w:t>
      </w:r>
      <w:r w:rsidRPr="002C4373">
        <w:rPr>
          <w:rFonts w:cs="Arial"/>
          <w:i/>
        </w:rPr>
        <w:t>substantial assurance</w:t>
      </w:r>
    </w:p>
    <w:p w:rsidR="003F723A" w:rsidRDefault="003F723A" w:rsidP="003F723A">
      <w:pPr>
        <w:pStyle w:val="ListParagraph"/>
        <w:numPr>
          <w:ilvl w:val="1"/>
          <w:numId w:val="2"/>
        </w:numPr>
        <w:spacing w:before="120" w:after="120"/>
        <w:contextualSpacing w:val="0"/>
        <w:rPr>
          <w:rFonts w:cs="Arial"/>
        </w:rPr>
      </w:pPr>
      <w:r w:rsidRPr="00FA5993">
        <w:rPr>
          <w:rFonts w:cs="Arial"/>
        </w:rPr>
        <w:t xml:space="preserve">The </w:t>
      </w:r>
      <w:proofErr w:type="spellStart"/>
      <w:r w:rsidRPr="00FA5993">
        <w:rPr>
          <w:rFonts w:cs="Arial"/>
        </w:rPr>
        <w:t>Reablement</w:t>
      </w:r>
      <w:proofErr w:type="spellEnd"/>
      <w:r w:rsidRPr="00FA5993">
        <w:rPr>
          <w:rFonts w:cs="Arial"/>
        </w:rPr>
        <w:t xml:space="preserve"> Service exists to help people re-learn valuable life skills that have been lost due to a period of illness or incapacity. Support plans are developed with the service users and put in place for a period of up to six weeks to encourage individuals to do more for themselves and to become as independent as possible, thereby minimising the need for long-term homecare packages. The involvement of service users in their own service plans is key, and we found that this is achieved and that service users' needs are appropriately captured and addressed.</w:t>
      </w:r>
    </w:p>
    <w:p w:rsidR="007715D9" w:rsidRPr="007715D9" w:rsidRDefault="007715D9" w:rsidP="007715D9">
      <w:pPr>
        <w:spacing w:before="120" w:after="120"/>
        <w:rPr>
          <w:rFonts w:cs="Arial"/>
          <w:b/>
          <w:i/>
        </w:rPr>
      </w:pPr>
      <w:r w:rsidRPr="007715D9">
        <w:rPr>
          <w:rFonts w:cs="Arial"/>
          <w:b/>
          <w:i/>
        </w:rPr>
        <w:t>Social care supervision</w:t>
      </w:r>
      <w:r>
        <w:rPr>
          <w:rFonts w:cs="Arial"/>
          <w:b/>
          <w:i/>
        </w:rPr>
        <w:t xml:space="preserve">: </w:t>
      </w:r>
      <w:r w:rsidRPr="007715D9">
        <w:rPr>
          <w:rFonts w:cs="Arial"/>
          <w:i/>
        </w:rPr>
        <w:t>substantial assurance</w:t>
      </w:r>
    </w:p>
    <w:p w:rsidR="007715D9" w:rsidRPr="007715D9" w:rsidRDefault="007715D9" w:rsidP="00D06581">
      <w:pPr>
        <w:pStyle w:val="ListParagraph"/>
        <w:numPr>
          <w:ilvl w:val="1"/>
          <w:numId w:val="2"/>
        </w:numPr>
        <w:spacing w:before="120" w:after="120"/>
        <w:contextualSpacing w:val="0"/>
        <w:rPr>
          <w:rFonts w:cs="Arial"/>
          <w:i/>
        </w:rPr>
      </w:pPr>
      <w:r w:rsidRPr="007715D9">
        <w:rPr>
          <w:rFonts w:cs="Arial"/>
        </w:rPr>
        <w:t>Overall, action has been taken as intended to improve controls over supervision arrangements, although more time is clearly needed to enable these control improvements to become embedded. In particular, a revised supervision policy framework was developed for use within Adult Social Care from 1 October 2014: the policy statement and associated documents are easily accessible to staff and the policy is starting to be applied. However, there has been limited time for supervisors to fully embed the re</w:t>
      </w:r>
      <w:r>
        <w:rPr>
          <w:rFonts w:cs="Arial"/>
        </w:rPr>
        <w:t>vised procedures into practice.</w:t>
      </w:r>
    </w:p>
    <w:p w:rsidR="008C0C4D" w:rsidRPr="007715D9" w:rsidRDefault="008C0C4D" w:rsidP="007715D9">
      <w:pPr>
        <w:spacing w:before="120" w:after="120"/>
        <w:rPr>
          <w:rFonts w:cs="Arial"/>
          <w:i/>
        </w:rPr>
      </w:pPr>
      <w:r w:rsidRPr="007715D9">
        <w:rPr>
          <w:rFonts w:cs="Arial"/>
          <w:b/>
          <w:i/>
        </w:rPr>
        <w:t xml:space="preserve">Support planning: </w:t>
      </w:r>
      <w:r w:rsidRPr="007715D9">
        <w:rPr>
          <w:rFonts w:cs="Arial"/>
          <w:i/>
        </w:rPr>
        <w:t>substantial assurance</w:t>
      </w:r>
    </w:p>
    <w:p w:rsidR="003F723A" w:rsidRPr="00132640" w:rsidRDefault="003F723A" w:rsidP="003F723A">
      <w:pPr>
        <w:pStyle w:val="ListParagraph"/>
        <w:numPr>
          <w:ilvl w:val="1"/>
          <w:numId w:val="2"/>
        </w:numPr>
        <w:spacing w:before="120" w:after="120"/>
        <w:contextualSpacing w:val="0"/>
        <w:rPr>
          <w:rFonts w:cs="Arial"/>
        </w:rPr>
      </w:pPr>
      <w:r w:rsidRPr="00132640">
        <w:rPr>
          <w:rFonts w:cs="Arial"/>
        </w:rPr>
        <w:t xml:space="preserve">Self-directed support enables service users to take control of the on-going personal social care support they receive, based on the budget allocated to them and the range of universal and informal supports available to ensure their safety. The preferred route is for the service user to work with community support planners, other service providers, family or friends to develop the most appropriate support. </w:t>
      </w:r>
    </w:p>
    <w:p w:rsidR="003F723A" w:rsidRPr="00132640" w:rsidRDefault="003F723A" w:rsidP="003F723A">
      <w:pPr>
        <w:pStyle w:val="ListParagraph"/>
        <w:numPr>
          <w:ilvl w:val="1"/>
          <w:numId w:val="2"/>
        </w:numPr>
        <w:spacing w:before="120" w:after="120"/>
        <w:contextualSpacing w:val="0"/>
        <w:rPr>
          <w:rFonts w:cs="Arial"/>
        </w:rPr>
      </w:pPr>
      <w:r w:rsidRPr="00132640">
        <w:rPr>
          <w:rFonts w:cs="Arial"/>
        </w:rPr>
        <w:t>Key to support planning are the quality and timeliness of the customer journey and the support plans produced</w:t>
      </w:r>
      <w:r>
        <w:rPr>
          <w:rFonts w:cs="Arial"/>
        </w:rPr>
        <w:t>,</w:t>
      </w:r>
      <w:r w:rsidRPr="00132640">
        <w:rPr>
          <w:rFonts w:cs="Arial"/>
        </w:rPr>
        <w:t xml:space="preserve"> consideration of the service users' preferences</w:t>
      </w:r>
      <w:r>
        <w:rPr>
          <w:rFonts w:cs="Arial"/>
        </w:rPr>
        <w:t>,</w:t>
      </w:r>
      <w:r w:rsidRPr="00132640">
        <w:rPr>
          <w:rFonts w:cs="Arial"/>
        </w:rPr>
        <w:t xml:space="preserve"> appropriate utilisation of universal services and informal support arrangements</w:t>
      </w:r>
      <w:r>
        <w:rPr>
          <w:rFonts w:cs="Arial"/>
        </w:rPr>
        <w:t>,</w:t>
      </w:r>
      <w:r w:rsidRPr="00132640">
        <w:rPr>
          <w:rFonts w:cs="Arial"/>
        </w:rPr>
        <w:t xml:space="preserve"> and </w:t>
      </w:r>
      <w:r>
        <w:rPr>
          <w:rFonts w:cs="Arial"/>
        </w:rPr>
        <w:t xml:space="preserve">effective </w:t>
      </w:r>
      <w:r w:rsidRPr="00132640">
        <w:rPr>
          <w:rFonts w:cs="Arial"/>
        </w:rPr>
        <w:t>monitoring arrangements. We found that service users are involved in support planning and clear, robust, person-centred plans document the assistance required by service users, their support preferences and their individual capabilities.</w:t>
      </w:r>
    </w:p>
    <w:p w:rsidR="008C0C4D" w:rsidRPr="00E36FA2" w:rsidRDefault="008C0C4D" w:rsidP="003F723A">
      <w:pPr>
        <w:spacing w:before="120" w:after="120"/>
        <w:rPr>
          <w:rFonts w:cs="Arial"/>
          <w:b/>
          <w:i/>
        </w:rPr>
      </w:pPr>
      <w:r w:rsidRPr="00E36FA2">
        <w:rPr>
          <w:rFonts w:cs="Arial"/>
          <w:b/>
        </w:rPr>
        <w:t>Service specific controls: Public Health</w:t>
      </w:r>
    </w:p>
    <w:p w:rsidR="008C0C4D" w:rsidRPr="003438CB" w:rsidRDefault="008C0C4D" w:rsidP="003F723A">
      <w:pPr>
        <w:spacing w:before="120" w:after="120"/>
        <w:rPr>
          <w:rFonts w:cs="Arial"/>
          <w:b/>
          <w:i/>
        </w:rPr>
      </w:pPr>
      <w:r>
        <w:rPr>
          <w:rFonts w:cs="Arial"/>
          <w:b/>
          <w:i/>
        </w:rPr>
        <w:t xml:space="preserve">Scheme of delegation: </w:t>
      </w:r>
      <w:r w:rsidRPr="00CC430A">
        <w:rPr>
          <w:rFonts w:cs="Arial"/>
          <w:i/>
        </w:rPr>
        <w:t>substantial assurance</w:t>
      </w:r>
    </w:p>
    <w:p w:rsidR="003F723A" w:rsidRPr="003F723A" w:rsidRDefault="003F723A" w:rsidP="003F723A">
      <w:pPr>
        <w:pStyle w:val="ListParagraph"/>
        <w:numPr>
          <w:ilvl w:val="1"/>
          <w:numId w:val="2"/>
        </w:numPr>
        <w:spacing w:before="120" w:after="120"/>
        <w:contextualSpacing w:val="0"/>
        <w:rPr>
          <w:rFonts w:cs="Arial"/>
        </w:rPr>
      </w:pPr>
      <w:r w:rsidRPr="00D4604A">
        <w:rPr>
          <w:rFonts w:cs="Arial"/>
        </w:rPr>
        <w:t xml:space="preserve">The council's scheme of delegation gives authority to </w:t>
      </w:r>
      <w:r>
        <w:rPr>
          <w:rFonts w:cs="Arial"/>
        </w:rPr>
        <w:t xml:space="preserve">chief </w:t>
      </w:r>
      <w:r w:rsidRPr="00D4604A">
        <w:rPr>
          <w:rFonts w:cs="Arial"/>
        </w:rPr>
        <w:t xml:space="preserve">officers to take decisions on the day-to-day operations of the council. Although we have provided substantial assurance overall on this area, </w:t>
      </w:r>
      <w:r>
        <w:rPr>
          <w:rFonts w:cs="Arial"/>
        </w:rPr>
        <w:t xml:space="preserve">we found a lack of clarity regarding the implementation of the council's procurement rules, including </w:t>
      </w:r>
      <w:r w:rsidRPr="00D4604A">
        <w:rPr>
          <w:rFonts w:cs="Arial"/>
        </w:rPr>
        <w:t xml:space="preserve">the procedures to be followed where a </w:t>
      </w:r>
      <w:r>
        <w:rPr>
          <w:rFonts w:cs="Arial"/>
        </w:rPr>
        <w:t>variation</w:t>
      </w:r>
      <w:r w:rsidRPr="00D4604A">
        <w:rPr>
          <w:rFonts w:cs="Arial"/>
        </w:rPr>
        <w:t xml:space="preserve"> to an existing contract is required, or where contracts may be awarded to a single source supplier without seeking competitive tenders</w:t>
      </w:r>
      <w:r>
        <w:rPr>
          <w:rFonts w:cs="Arial"/>
        </w:rPr>
        <w:t xml:space="preserve">. </w:t>
      </w:r>
      <w:r w:rsidRPr="0041326B">
        <w:rPr>
          <w:rFonts w:cs="Arial"/>
        </w:rPr>
        <w:t xml:space="preserve">A high proportion of decisions (three of ten sampled) were </w:t>
      </w:r>
      <w:r w:rsidRPr="0041326B">
        <w:rPr>
          <w:rFonts w:cs="Arial"/>
        </w:rPr>
        <w:lastRenderedPageBreak/>
        <w:t>made retrospectively, and the decisions taken are not routinely reported to t</w:t>
      </w:r>
      <w:r>
        <w:rPr>
          <w:rFonts w:cs="Arial"/>
        </w:rPr>
        <w:t>he public health management team.</w:t>
      </w:r>
    </w:p>
    <w:p w:rsidR="008C0C4D" w:rsidRPr="003F723A" w:rsidRDefault="008C0C4D" w:rsidP="00275CF2">
      <w:pPr>
        <w:spacing w:before="240" w:after="120"/>
        <w:rPr>
          <w:rFonts w:cs="Arial"/>
          <w:b/>
        </w:rPr>
      </w:pPr>
      <w:r w:rsidRPr="003F723A">
        <w:rPr>
          <w:rFonts w:cs="Arial"/>
          <w:b/>
        </w:rPr>
        <w:t>Service specific controls: Directorate for Children and Young People</w:t>
      </w:r>
    </w:p>
    <w:p w:rsidR="008C0C4D" w:rsidRPr="00E36FA2" w:rsidRDefault="008C0C4D" w:rsidP="003F723A">
      <w:pPr>
        <w:spacing w:before="120" w:after="120"/>
        <w:rPr>
          <w:rFonts w:cs="Arial"/>
          <w:b/>
          <w:i/>
        </w:rPr>
      </w:pPr>
      <w:r w:rsidRPr="00E36FA2">
        <w:rPr>
          <w:rFonts w:cs="Arial"/>
          <w:b/>
          <w:i/>
        </w:rPr>
        <w:t>Case file audit process</w:t>
      </w:r>
      <w:r>
        <w:rPr>
          <w:rFonts w:cs="Arial"/>
          <w:b/>
          <w:i/>
        </w:rPr>
        <w:t xml:space="preserve">: </w:t>
      </w:r>
      <w:r w:rsidRPr="005C55CF">
        <w:rPr>
          <w:rFonts w:cs="Arial"/>
          <w:i/>
        </w:rPr>
        <w:t>substantial assurance</w:t>
      </w:r>
    </w:p>
    <w:p w:rsidR="008C0C4D" w:rsidRPr="00A416BA" w:rsidRDefault="008C0C4D" w:rsidP="003F723A">
      <w:pPr>
        <w:pStyle w:val="ListParagraph"/>
        <w:numPr>
          <w:ilvl w:val="1"/>
          <w:numId w:val="2"/>
        </w:numPr>
        <w:spacing w:before="120" w:after="120"/>
        <w:contextualSpacing w:val="0"/>
        <w:rPr>
          <w:rFonts w:cs="Arial"/>
        </w:rPr>
      </w:pPr>
      <w:r w:rsidRPr="00A416BA">
        <w:rPr>
          <w:rFonts w:cs="Arial"/>
        </w:rPr>
        <w:t xml:space="preserve">The Victoria </w:t>
      </w:r>
      <w:proofErr w:type="spellStart"/>
      <w:r w:rsidRPr="00A416BA">
        <w:rPr>
          <w:rFonts w:cs="Arial"/>
        </w:rPr>
        <w:t>Climbie</w:t>
      </w:r>
      <w:proofErr w:type="spellEnd"/>
      <w:r w:rsidRPr="00A416BA">
        <w:rPr>
          <w:rFonts w:cs="Arial"/>
        </w:rPr>
        <w:t xml:space="preserve"> Inquiry Report recommended that directors of social services ensure that senior managers inspect, at least once every three months, a random selection of case files and supervision notes. The county council has established a case file audit framework to fulfil this requirement and ensure that positive outcomes for vulnerable children and young people in Lancashire are achieved through high quality social care practice and compliance with procedures. The framework </w:t>
      </w:r>
      <w:r>
        <w:rPr>
          <w:rFonts w:cs="Arial"/>
        </w:rPr>
        <w:t>was revised in July 2014 and sets out</w:t>
      </w:r>
      <w:r w:rsidRPr="00A416BA">
        <w:rPr>
          <w:rFonts w:cs="Arial"/>
        </w:rPr>
        <w:t xml:space="preserve"> the number of </w:t>
      </w:r>
      <w:r>
        <w:rPr>
          <w:rFonts w:cs="Arial"/>
        </w:rPr>
        <w:t xml:space="preserve">case </w:t>
      </w:r>
      <w:r w:rsidRPr="00A416BA">
        <w:rPr>
          <w:rFonts w:cs="Arial"/>
        </w:rPr>
        <w:t>file audits that managers and the CYP Audit Team are expected to complete each month</w:t>
      </w:r>
      <w:r>
        <w:rPr>
          <w:rFonts w:cs="Arial"/>
        </w:rPr>
        <w:t xml:space="preserve"> and, t</w:t>
      </w:r>
      <w:r w:rsidRPr="00A416BA">
        <w:rPr>
          <w:rFonts w:cs="Arial"/>
        </w:rPr>
        <w:t>o support the process</w:t>
      </w:r>
      <w:r>
        <w:rPr>
          <w:rFonts w:cs="Arial"/>
        </w:rPr>
        <w:t>,</w:t>
      </w:r>
      <w:r w:rsidRPr="00A416BA">
        <w:rPr>
          <w:rFonts w:cs="Arial"/>
        </w:rPr>
        <w:t xml:space="preserve"> details of completed file audits are reported to </w:t>
      </w:r>
      <w:r>
        <w:rPr>
          <w:rFonts w:cs="Arial"/>
        </w:rPr>
        <w:t xml:space="preserve">the </w:t>
      </w:r>
      <w:r w:rsidRPr="00A416BA">
        <w:rPr>
          <w:rFonts w:cs="Arial"/>
        </w:rPr>
        <w:t>D</w:t>
      </w:r>
      <w:r>
        <w:rPr>
          <w:rFonts w:cs="Arial"/>
        </w:rPr>
        <w:t xml:space="preserve">irectorate </w:t>
      </w:r>
      <w:r w:rsidRPr="00A416BA">
        <w:rPr>
          <w:rFonts w:cs="Arial"/>
        </w:rPr>
        <w:t>L</w:t>
      </w:r>
      <w:r>
        <w:rPr>
          <w:rFonts w:cs="Arial"/>
        </w:rPr>
        <w:t xml:space="preserve">eadership </w:t>
      </w:r>
      <w:r w:rsidRPr="00A416BA">
        <w:rPr>
          <w:rFonts w:cs="Arial"/>
        </w:rPr>
        <w:t>T</w:t>
      </w:r>
      <w:r>
        <w:rPr>
          <w:rFonts w:cs="Arial"/>
        </w:rPr>
        <w:t xml:space="preserve">eam </w:t>
      </w:r>
      <w:r w:rsidRPr="00A416BA">
        <w:rPr>
          <w:rFonts w:cs="Arial"/>
        </w:rPr>
        <w:t>quarterly.</w:t>
      </w:r>
    </w:p>
    <w:p w:rsidR="008C0C4D" w:rsidRDefault="008C0C4D" w:rsidP="003F723A">
      <w:pPr>
        <w:pStyle w:val="ListParagraph"/>
        <w:numPr>
          <w:ilvl w:val="1"/>
          <w:numId w:val="2"/>
        </w:numPr>
        <w:spacing w:before="120" w:after="120"/>
        <w:contextualSpacing w:val="0"/>
        <w:rPr>
          <w:rFonts w:cs="Arial"/>
        </w:rPr>
      </w:pPr>
      <w:r>
        <w:rPr>
          <w:rFonts w:cs="Arial"/>
        </w:rPr>
        <w:t xml:space="preserve">Each of the agreed actions has now been addressed. It was intended that the requirement for case file audits would be designed into the new Lancashire Care System (LCS) provided by </w:t>
      </w:r>
      <w:proofErr w:type="spellStart"/>
      <w:r>
        <w:rPr>
          <w:rFonts w:cs="Arial"/>
        </w:rPr>
        <w:t>Liquidlogic</w:t>
      </w:r>
      <w:proofErr w:type="spellEnd"/>
      <w:r>
        <w:rPr>
          <w:rFonts w:cs="Arial"/>
        </w:rPr>
        <w:t>, but d</w:t>
      </w:r>
      <w:r w:rsidRPr="004D56DD">
        <w:rPr>
          <w:rFonts w:cs="Arial"/>
        </w:rPr>
        <w:t>iscussions are still ongoing with the developers</w:t>
      </w:r>
      <w:r>
        <w:rPr>
          <w:rFonts w:cs="Arial"/>
        </w:rPr>
        <w:t xml:space="preserve"> because</w:t>
      </w:r>
      <w:r w:rsidRPr="004D56DD">
        <w:rPr>
          <w:rFonts w:cs="Arial"/>
        </w:rPr>
        <w:t xml:space="preserve"> LCS does not currently meet th</w:t>
      </w:r>
      <w:r>
        <w:rPr>
          <w:rFonts w:cs="Arial"/>
        </w:rPr>
        <w:t>is requirement</w:t>
      </w:r>
      <w:r w:rsidRPr="004D56DD">
        <w:rPr>
          <w:rFonts w:cs="Arial"/>
        </w:rPr>
        <w:t xml:space="preserve">. However, a robust interim system and a toolkit </w:t>
      </w:r>
      <w:r>
        <w:rPr>
          <w:rFonts w:cs="Arial"/>
        </w:rPr>
        <w:t xml:space="preserve">have </w:t>
      </w:r>
      <w:r w:rsidRPr="004D56DD">
        <w:rPr>
          <w:rFonts w:cs="Arial"/>
        </w:rPr>
        <w:t xml:space="preserve">been </w:t>
      </w:r>
      <w:r>
        <w:rPr>
          <w:rFonts w:cs="Arial"/>
        </w:rPr>
        <w:t>introduced</w:t>
      </w:r>
      <w:r w:rsidRPr="004D56DD">
        <w:rPr>
          <w:rFonts w:cs="Arial"/>
        </w:rPr>
        <w:t xml:space="preserve"> </w:t>
      </w:r>
      <w:r>
        <w:rPr>
          <w:rFonts w:cs="Arial"/>
        </w:rPr>
        <w:t xml:space="preserve">which could </w:t>
      </w:r>
      <w:r w:rsidRPr="004D56DD">
        <w:rPr>
          <w:rFonts w:cs="Arial"/>
        </w:rPr>
        <w:t xml:space="preserve">be built into LCS </w:t>
      </w:r>
      <w:r>
        <w:rPr>
          <w:rFonts w:cs="Arial"/>
        </w:rPr>
        <w:t>in the future.</w:t>
      </w:r>
    </w:p>
    <w:p w:rsidR="008C0C4D" w:rsidRPr="00567571" w:rsidRDefault="008C0C4D" w:rsidP="003F723A">
      <w:pPr>
        <w:spacing w:before="120" w:after="120"/>
        <w:rPr>
          <w:rFonts w:cs="Arial"/>
          <w:b/>
          <w:i/>
        </w:rPr>
      </w:pPr>
      <w:r w:rsidRPr="00567571">
        <w:rPr>
          <w:rFonts w:cs="Arial"/>
          <w:b/>
          <w:i/>
        </w:rPr>
        <w:t>Direct payments and emergency payments to families</w:t>
      </w:r>
    </w:p>
    <w:p w:rsidR="008C0C4D" w:rsidRPr="005D0776" w:rsidRDefault="008C0C4D" w:rsidP="003F723A">
      <w:pPr>
        <w:pStyle w:val="ListParagraph"/>
        <w:numPr>
          <w:ilvl w:val="1"/>
          <w:numId w:val="2"/>
        </w:numPr>
        <w:spacing w:before="120" w:after="120"/>
        <w:contextualSpacing w:val="0"/>
        <w:rPr>
          <w:rFonts w:cs="Arial"/>
        </w:rPr>
      </w:pPr>
      <w:r>
        <w:rPr>
          <w:rFonts w:cs="Arial"/>
        </w:rPr>
        <w:t xml:space="preserve">It has become clear that the processes and controls in these two areas have altered so significantly since we undertook our original audit that the actions raised are no longer relevant. The audit of emergency payments to families was reported </w:t>
      </w:r>
      <w:r w:rsidRPr="005D0776">
        <w:rPr>
          <w:rFonts w:cs="Arial"/>
        </w:rPr>
        <w:t>in November 2011 and on direct payments for children with disabilities in December 2012.</w:t>
      </w:r>
    </w:p>
    <w:p w:rsidR="00DE01DA" w:rsidRPr="00914620" w:rsidRDefault="00DE01DA" w:rsidP="00DE01DA">
      <w:pPr>
        <w:spacing w:before="120" w:after="120"/>
        <w:rPr>
          <w:rFonts w:cs="Arial"/>
          <w:i/>
        </w:rPr>
      </w:pPr>
      <w:r w:rsidRPr="00914620">
        <w:rPr>
          <w:rFonts w:cs="Arial"/>
          <w:b/>
          <w:i/>
        </w:rPr>
        <w:t>Partnership working with the NHS to support children with mental health needs</w:t>
      </w:r>
    </w:p>
    <w:p w:rsidR="00A4363C" w:rsidRPr="00A4363C" w:rsidRDefault="00A4363C" w:rsidP="00A4363C">
      <w:pPr>
        <w:pStyle w:val="ListParagraph"/>
        <w:numPr>
          <w:ilvl w:val="1"/>
          <w:numId w:val="2"/>
        </w:numPr>
        <w:spacing w:before="120" w:after="120"/>
        <w:contextualSpacing w:val="0"/>
        <w:rPr>
          <w:rFonts w:cs="Arial"/>
        </w:rPr>
      </w:pPr>
      <w:r w:rsidRPr="00A4363C">
        <w:rPr>
          <w:rFonts w:cs="Arial"/>
        </w:rPr>
        <w:t>The issues are complex, involving the NHS clinical commissioning groups and trusts as well as the council and requiring action over the long term. We are aware that action has been taken since we reported in July 2013, but also that the issues have not yet been resolved. In January 2014 the council's and NHS commissioners attended the Scrutiny Committee, with Child and Adolescent Mental Health Services (CAMHS) providers to provide an update on the action being taken to improve CAMHS services in Lancashire and to provide information on wider developments of emotional health and wellbeing services for children and young people. The Head of Policy, Information and Commissioning (Start Well) has recently taken a further re</w:t>
      </w:r>
      <w:r>
        <w:rPr>
          <w:rFonts w:cs="Arial"/>
        </w:rPr>
        <w:t>port to the Scrutiny Committee.</w:t>
      </w:r>
    </w:p>
    <w:p w:rsidR="008C0C4D" w:rsidRPr="00311238" w:rsidRDefault="008C0C4D" w:rsidP="003F723A">
      <w:pPr>
        <w:spacing w:before="120" w:after="120"/>
        <w:rPr>
          <w:rFonts w:cs="Arial"/>
          <w:b/>
          <w:i/>
        </w:rPr>
      </w:pPr>
      <w:r w:rsidRPr="005C55CF">
        <w:rPr>
          <w:rFonts w:cs="Arial"/>
          <w:b/>
          <w:i/>
        </w:rPr>
        <w:t>Independent Reviewing Officers</w:t>
      </w:r>
      <w:r>
        <w:rPr>
          <w:rFonts w:cs="Arial"/>
          <w:b/>
          <w:i/>
        </w:rPr>
        <w:t xml:space="preserve">: </w:t>
      </w:r>
      <w:r w:rsidRPr="005C55CF">
        <w:rPr>
          <w:rFonts w:cs="Arial"/>
          <w:i/>
        </w:rPr>
        <w:t>substantial assurance</w:t>
      </w:r>
    </w:p>
    <w:p w:rsidR="008C0C4D" w:rsidRDefault="008C0C4D" w:rsidP="003F723A">
      <w:pPr>
        <w:pStyle w:val="ListParagraph"/>
        <w:numPr>
          <w:ilvl w:val="1"/>
          <w:numId w:val="2"/>
        </w:numPr>
        <w:spacing w:before="120" w:after="120"/>
        <w:contextualSpacing w:val="0"/>
        <w:rPr>
          <w:rFonts w:cs="Arial"/>
        </w:rPr>
      </w:pPr>
      <w:r w:rsidRPr="00AB3045">
        <w:rPr>
          <w:rFonts w:cs="Arial"/>
        </w:rPr>
        <w:t xml:space="preserve">The role of the independent reviewing officer (IRO) involves chairing a child looked after's review, monitoring a child's case on an ongoing basis to identify any areas of poor practice, and </w:t>
      </w:r>
      <w:r>
        <w:rPr>
          <w:rFonts w:cs="Arial"/>
        </w:rPr>
        <w:t>raising</w:t>
      </w:r>
      <w:r w:rsidRPr="00AB3045">
        <w:rPr>
          <w:rFonts w:cs="Arial"/>
        </w:rPr>
        <w:t xml:space="preserve"> any concerns around service delivery generally, not just in relation to individual children. The Government </w:t>
      </w:r>
      <w:r>
        <w:rPr>
          <w:rFonts w:cs="Arial"/>
        </w:rPr>
        <w:t xml:space="preserve">has established </w:t>
      </w:r>
      <w:r w:rsidRPr="00AB3045">
        <w:rPr>
          <w:rFonts w:cs="Arial"/>
        </w:rPr>
        <w:t xml:space="preserve">statutory guidance regarding IROs' caseloads and the frequency of </w:t>
      </w:r>
      <w:r w:rsidRPr="00AB3045">
        <w:rPr>
          <w:rFonts w:cs="Arial"/>
        </w:rPr>
        <w:lastRenderedPageBreak/>
        <w:t>contact with children looked after, and also gives the IRO the authority to convene a review whenever they deem one necessary.</w:t>
      </w:r>
    </w:p>
    <w:p w:rsidR="008C0C4D" w:rsidRDefault="008C0C4D" w:rsidP="003F723A">
      <w:pPr>
        <w:pStyle w:val="ListParagraph"/>
        <w:numPr>
          <w:ilvl w:val="1"/>
          <w:numId w:val="2"/>
        </w:numPr>
        <w:spacing w:before="120" w:after="120"/>
        <w:contextualSpacing w:val="0"/>
        <w:rPr>
          <w:rFonts w:cs="Arial"/>
        </w:rPr>
      </w:pPr>
      <w:r>
        <w:rPr>
          <w:rFonts w:cs="Arial"/>
        </w:rPr>
        <w:t>The Service</w:t>
      </w:r>
      <w:r w:rsidRPr="00C229C7">
        <w:rPr>
          <w:rFonts w:cs="Arial"/>
        </w:rPr>
        <w:t xml:space="preserve"> agreed </w:t>
      </w:r>
      <w:r>
        <w:rPr>
          <w:rFonts w:cs="Arial"/>
        </w:rPr>
        <w:t xml:space="preserve">to implement </w:t>
      </w:r>
      <w:r w:rsidRPr="00C229C7">
        <w:rPr>
          <w:rFonts w:cs="Arial"/>
        </w:rPr>
        <w:t xml:space="preserve">two high priority actions in this area. The first was that </w:t>
      </w:r>
      <w:r>
        <w:rPr>
          <w:rFonts w:cs="Arial"/>
        </w:rPr>
        <w:t xml:space="preserve">the </w:t>
      </w:r>
      <w:r w:rsidRPr="00C229C7">
        <w:rPr>
          <w:rFonts w:cs="Arial"/>
        </w:rPr>
        <w:t xml:space="preserve">'starred recommendations' log </w:t>
      </w:r>
      <w:r>
        <w:rPr>
          <w:rFonts w:cs="Arial"/>
        </w:rPr>
        <w:t xml:space="preserve">would be continuously updated </w:t>
      </w:r>
      <w:r w:rsidRPr="00C229C7">
        <w:rPr>
          <w:rFonts w:cs="Arial"/>
        </w:rPr>
        <w:t xml:space="preserve">to ensure that all actions are easily identifiable, implemented in a timely manner and are reported to senior management as part of a quarterly quality assurance report. The second was that the caseloads of any IROs who leave or who are absent on long-term sickness would be reallocated with immediate effect by the Quality </w:t>
      </w:r>
      <w:r>
        <w:rPr>
          <w:rFonts w:cs="Arial"/>
        </w:rPr>
        <w:t>and</w:t>
      </w:r>
      <w:r w:rsidRPr="00C229C7">
        <w:rPr>
          <w:rFonts w:cs="Arial"/>
        </w:rPr>
        <w:t xml:space="preserve"> Review Managers, </w:t>
      </w:r>
      <w:r>
        <w:rPr>
          <w:rFonts w:cs="Arial"/>
        </w:rPr>
        <w:t xml:space="preserve">and that this would be checked </w:t>
      </w:r>
      <w:r w:rsidRPr="00C229C7">
        <w:rPr>
          <w:rFonts w:cs="Arial"/>
        </w:rPr>
        <w:t>by pro</w:t>
      </w:r>
      <w:r>
        <w:rPr>
          <w:rFonts w:cs="Arial"/>
        </w:rPr>
        <w:t>ducing and reviewing regular caseload reports. The testing we have undertaken confirms that both sets of actions have been addressed.</w:t>
      </w:r>
    </w:p>
    <w:p w:rsidR="00FF72CD" w:rsidRPr="00FF72CD" w:rsidRDefault="008C0C4D" w:rsidP="00FF72CD">
      <w:pPr>
        <w:pStyle w:val="ListParagraph"/>
        <w:numPr>
          <w:ilvl w:val="1"/>
          <w:numId w:val="2"/>
        </w:numPr>
        <w:spacing w:before="120" w:after="120"/>
        <w:contextualSpacing w:val="0"/>
        <w:rPr>
          <w:rFonts w:cs="Arial"/>
        </w:rPr>
      </w:pPr>
      <w:r>
        <w:rPr>
          <w:rFonts w:cs="Arial"/>
        </w:rPr>
        <w:t>Most of the other actions have also been addressed, although the Service still struggles to meet the timescales in statutory guidance for reviews of children looked after and child protection cases and the reporting required to support these, as well as timely reporting to the families involved in child protection conferences.</w:t>
      </w:r>
    </w:p>
    <w:p w:rsidR="008C0C4D" w:rsidRDefault="008C0C4D" w:rsidP="005E3BDC">
      <w:pPr>
        <w:spacing w:before="120" w:after="120"/>
        <w:rPr>
          <w:rFonts w:cs="Arial"/>
          <w:i/>
        </w:rPr>
      </w:pPr>
      <w:r w:rsidRPr="005E3BDC">
        <w:rPr>
          <w:rFonts w:cs="Arial"/>
          <w:b/>
          <w:i/>
        </w:rPr>
        <w:t xml:space="preserve">Due diligence over the transfer of children's centres from the NHS: </w:t>
      </w:r>
      <w:r w:rsidRPr="005E3BDC">
        <w:rPr>
          <w:rFonts w:cs="Arial"/>
          <w:i/>
        </w:rPr>
        <w:t>substantial assurance</w:t>
      </w:r>
    </w:p>
    <w:p w:rsidR="00FA326F" w:rsidRPr="00FA326F" w:rsidRDefault="00FA326F" w:rsidP="005E3BDC">
      <w:pPr>
        <w:spacing w:before="120" w:after="120"/>
        <w:rPr>
          <w:rFonts w:cs="Arial"/>
          <w:vanish/>
        </w:rPr>
      </w:pPr>
    </w:p>
    <w:p w:rsidR="00760960" w:rsidRPr="00743F49" w:rsidRDefault="00760960" w:rsidP="00760960">
      <w:pPr>
        <w:pStyle w:val="ListParagraph"/>
        <w:numPr>
          <w:ilvl w:val="1"/>
          <w:numId w:val="2"/>
        </w:numPr>
        <w:spacing w:before="120" w:after="120"/>
        <w:contextualSpacing w:val="0"/>
        <w:rPr>
          <w:rFonts w:cs="Arial"/>
        </w:rPr>
      </w:pPr>
      <w:r w:rsidRPr="00FA326F">
        <w:rPr>
          <w:rFonts w:cs="Arial"/>
        </w:rPr>
        <w:t>This review was carried out at the request of the Head of Quality and</w:t>
      </w:r>
      <w:r w:rsidRPr="00743F49">
        <w:rPr>
          <w:rFonts w:cs="Arial"/>
        </w:rPr>
        <w:t xml:space="preserve"> Continuous Improvement to provide assurance over the use of funding prior to the transfer in October 2014</w:t>
      </w:r>
      <w:r>
        <w:rPr>
          <w:rFonts w:cs="Arial"/>
        </w:rPr>
        <w:t xml:space="preserve"> </w:t>
      </w:r>
      <w:r w:rsidRPr="00743F49">
        <w:rPr>
          <w:rFonts w:cs="Arial"/>
        </w:rPr>
        <w:t xml:space="preserve">of management responsibility for the centres from Lancashire Care NHS Foundation Trust to the council's Quality </w:t>
      </w:r>
      <w:r>
        <w:rPr>
          <w:rFonts w:cs="Arial"/>
        </w:rPr>
        <w:t>and</w:t>
      </w:r>
      <w:r w:rsidRPr="00743F49">
        <w:rPr>
          <w:rFonts w:cs="Arial"/>
        </w:rPr>
        <w:t xml:space="preserve"> C</w:t>
      </w:r>
      <w:r>
        <w:rPr>
          <w:rFonts w:cs="Arial"/>
        </w:rPr>
        <w:t>ontinuous Improvement Service.</w:t>
      </w:r>
    </w:p>
    <w:p w:rsidR="008C0C4D" w:rsidRPr="00760960" w:rsidRDefault="00760960" w:rsidP="00760960">
      <w:pPr>
        <w:pStyle w:val="ListParagraph"/>
        <w:numPr>
          <w:ilvl w:val="1"/>
          <w:numId w:val="2"/>
        </w:numPr>
        <w:spacing w:before="120" w:after="120"/>
        <w:contextualSpacing w:val="0"/>
        <w:rPr>
          <w:rFonts w:cs="Arial"/>
        </w:rPr>
      </w:pPr>
      <w:r w:rsidRPr="00743F49">
        <w:rPr>
          <w:rFonts w:cs="Arial"/>
        </w:rPr>
        <w:t>We have provided substantial assurance that the funding has been spent to support valid, eligible activities that meet the core offer of children's centre services. In addition, testing of the expenditure and income did not suggest that there had been any accrued surplus funds or that funding had been used to support non-core activities.</w:t>
      </w:r>
    </w:p>
    <w:p w:rsidR="008C0C4D" w:rsidRPr="00760960" w:rsidRDefault="008C0C4D" w:rsidP="00275CF2">
      <w:pPr>
        <w:spacing w:before="120" w:after="120"/>
        <w:rPr>
          <w:rFonts w:cs="Arial"/>
          <w:b/>
          <w:i/>
        </w:rPr>
      </w:pPr>
      <w:r w:rsidRPr="00760960">
        <w:rPr>
          <w:rFonts w:cs="Arial"/>
          <w:b/>
          <w:i/>
        </w:rPr>
        <w:t xml:space="preserve">Residential homes: </w:t>
      </w:r>
      <w:r w:rsidRPr="00760960">
        <w:rPr>
          <w:rFonts w:cs="Arial"/>
          <w:i/>
        </w:rPr>
        <w:t>substantial assurance</w:t>
      </w:r>
    </w:p>
    <w:p w:rsidR="008C0C4D" w:rsidRPr="0057345B" w:rsidRDefault="008C0C4D" w:rsidP="00760960">
      <w:pPr>
        <w:pStyle w:val="ListParagraph"/>
        <w:numPr>
          <w:ilvl w:val="1"/>
          <w:numId w:val="2"/>
        </w:numPr>
        <w:spacing w:before="120" w:after="120"/>
        <w:contextualSpacing w:val="0"/>
        <w:rPr>
          <w:rFonts w:cs="Arial"/>
          <w:color w:val="000000" w:themeColor="text1"/>
        </w:rPr>
      </w:pPr>
      <w:r w:rsidRPr="00173742">
        <w:rPr>
          <w:rFonts w:cs="Arial"/>
        </w:rPr>
        <w:t xml:space="preserve">We </w:t>
      </w:r>
      <w:r w:rsidR="00760960">
        <w:rPr>
          <w:rFonts w:cs="Arial"/>
        </w:rPr>
        <w:t>have</w:t>
      </w:r>
      <w:r w:rsidRPr="00173742">
        <w:rPr>
          <w:rFonts w:cs="Arial"/>
        </w:rPr>
        <w:t xml:space="preserve"> followed up the actions agreed in January 2013</w:t>
      </w:r>
      <w:r>
        <w:rPr>
          <w:rFonts w:cs="Arial"/>
        </w:rPr>
        <w:t>. S</w:t>
      </w:r>
      <w:r w:rsidRPr="00173742">
        <w:rPr>
          <w:rFonts w:cs="Arial"/>
        </w:rPr>
        <w:t>ome actions have been taken as intended</w:t>
      </w:r>
      <w:r>
        <w:rPr>
          <w:rFonts w:cs="Arial"/>
        </w:rPr>
        <w:t xml:space="preserve"> whilst </w:t>
      </w:r>
      <w:r w:rsidRPr="00173742">
        <w:rPr>
          <w:rFonts w:cs="Arial"/>
        </w:rPr>
        <w:t xml:space="preserve">others are reliant on wider control improvements, </w:t>
      </w:r>
      <w:r w:rsidRPr="0057345B">
        <w:rPr>
          <w:rFonts w:cs="Arial"/>
          <w:color w:val="000000" w:themeColor="text1"/>
        </w:rPr>
        <w:t>in particular revised social care supervision arrangements, and the development of revised financial procedures for these establishments.</w:t>
      </w:r>
    </w:p>
    <w:p w:rsidR="00FF72CD" w:rsidRPr="005F250B" w:rsidRDefault="00FF72CD" w:rsidP="00FF72CD">
      <w:pPr>
        <w:spacing w:before="120" w:after="120"/>
        <w:rPr>
          <w:rFonts w:cs="Arial"/>
          <w:b/>
          <w:i/>
        </w:rPr>
      </w:pPr>
      <w:r w:rsidRPr="005F250B">
        <w:rPr>
          <w:rFonts w:cs="Arial"/>
          <w:b/>
          <w:i/>
        </w:rPr>
        <w:t xml:space="preserve">Working Together With Troubled Families Programme: </w:t>
      </w:r>
      <w:r>
        <w:rPr>
          <w:rFonts w:cs="Arial"/>
          <w:i/>
        </w:rPr>
        <w:t>substantial</w:t>
      </w:r>
      <w:r w:rsidRPr="005F250B">
        <w:rPr>
          <w:rFonts w:cs="Arial"/>
          <w:i/>
        </w:rPr>
        <w:t xml:space="preserve"> assurance</w:t>
      </w:r>
    </w:p>
    <w:p w:rsidR="00FF72CD" w:rsidRPr="009F62DD" w:rsidRDefault="00FF72CD" w:rsidP="00FF72CD">
      <w:pPr>
        <w:pStyle w:val="ListParagraph"/>
        <w:numPr>
          <w:ilvl w:val="1"/>
          <w:numId w:val="2"/>
        </w:numPr>
        <w:spacing w:before="120" w:after="120"/>
        <w:contextualSpacing w:val="0"/>
        <w:rPr>
          <w:rFonts w:cs="Arial"/>
          <w:vanish/>
        </w:rPr>
      </w:pPr>
      <w:r w:rsidRPr="005F250B">
        <w:rPr>
          <w:rFonts w:cs="Arial"/>
        </w:rPr>
        <w:t>We have followed up the action taken to rectify controls that were previously not operating effectively</w:t>
      </w:r>
      <w:r>
        <w:rPr>
          <w:rFonts w:cs="Arial"/>
        </w:rPr>
        <w:t xml:space="preserve"> and si</w:t>
      </w:r>
      <w:r w:rsidRPr="005F250B">
        <w:rPr>
          <w:rFonts w:cs="Arial"/>
        </w:rPr>
        <w:t xml:space="preserve">gnificant steps have been taken to implement </w:t>
      </w:r>
      <w:r>
        <w:rPr>
          <w:rFonts w:cs="Arial"/>
        </w:rPr>
        <w:t xml:space="preserve">the majority of </w:t>
      </w:r>
      <w:r w:rsidRPr="005F250B">
        <w:rPr>
          <w:rFonts w:cs="Arial"/>
        </w:rPr>
        <w:t xml:space="preserve">the </w:t>
      </w:r>
      <w:r>
        <w:rPr>
          <w:rFonts w:cs="Arial"/>
        </w:rPr>
        <w:t xml:space="preserve">agreed </w:t>
      </w:r>
      <w:r w:rsidRPr="005F250B">
        <w:rPr>
          <w:rFonts w:cs="Arial"/>
        </w:rPr>
        <w:t>actions</w:t>
      </w:r>
      <w:r>
        <w:rPr>
          <w:rFonts w:cs="Arial"/>
        </w:rPr>
        <w:t>. T</w:t>
      </w:r>
      <w:r w:rsidRPr="00866574">
        <w:rPr>
          <w:rFonts w:cs="Arial"/>
        </w:rPr>
        <w:t>he Information Governa</w:t>
      </w:r>
      <w:r>
        <w:rPr>
          <w:rFonts w:cs="Arial"/>
        </w:rPr>
        <w:t>nce team has confirmed that consent</w:t>
      </w:r>
      <w:r w:rsidRPr="00866574">
        <w:rPr>
          <w:rFonts w:cs="Arial"/>
        </w:rPr>
        <w:t xml:space="preserve"> </w:t>
      </w:r>
      <w:r>
        <w:rPr>
          <w:rFonts w:cs="Arial"/>
        </w:rPr>
        <w:t xml:space="preserve">from families to their inclusion on the programme </w:t>
      </w:r>
      <w:r w:rsidRPr="00866574">
        <w:rPr>
          <w:rFonts w:cs="Arial"/>
        </w:rPr>
        <w:t>is required</w:t>
      </w:r>
      <w:r>
        <w:rPr>
          <w:rFonts w:cs="Arial"/>
        </w:rPr>
        <w:t>,</w:t>
      </w:r>
      <w:r w:rsidRPr="005F250B">
        <w:rPr>
          <w:rFonts w:cs="Arial"/>
        </w:rPr>
        <w:t xml:space="preserve"> </w:t>
      </w:r>
      <w:r>
        <w:rPr>
          <w:rFonts w:cs="Arial"/>
        </w:rPr>
        <w:t xml:space="preserve">and managers have confirmed that families are now only discussed where they have given their explicit consent to this. It was also agreed that consent would be obtained from any new families taken onto the programme from 23 January 2015 onwards, but the programme </w:t>
      </w:r>
      <w:r w:rsidRPr="009F62DD">
        <w:rPr>
          <w:rFonts w:cs="Arial"/>
        </w:rPr>
        <w:t xml:space="preserve">has now finished </w:t>
      </w:r>
      <w:r>
        <w:rPr>
          <w:rFonts w:cs="Arial"/>
        </w:rPr>
        <w:t xml:space="preserve">and </w:t>
      </w:r>
      <w:r w:rsidRPr="009F62DD">
        <w:rPr>
          <w:rFonts w:cs="Arial"/>
        </w:rPr>
        <w:t>no new families have been taken on</w:t>
      </w:r>
      <w:r>
        <w:rPr>
          <w:rFonts w:cs="Arial"/>
        </w:rPr>
        <w:t xml:space="preserve"> since January</w:t>
      </w:r>
      <w:r w:rsidRPr="009F62DD">
        <w:rPr>
          <w:rFonts w:cs="Arial"/>
        </w:rPr>
        <w:t>.</w:t>
      </w:r>
    </w:p>
    <w:p w:rsidR="00FF72CD" w:rsidRDefault="00FF72CD" w:rsidP="00760960">
      <w:pPr>
        <w:spacing w:before="120" w:after="120"/>
        <w:rPr>
          <w:rFonts w:cs="Arial"/>
          <w:b/>
          <w:color w:val="000000" w:themeColor="text1"/>
        </w:rPr>
      </w:pPr>
    </w:p>
    <w:p w:rsidR="008C3F7A" w:rsidRDefault="008C3F7A">
      <w:pPr>
        <w:spacing w:before="0" w:after="0"/>
        <w:rPr>
          <w:rFonts w:cs="Arial"/>
          <w:b/>
        </w:rPr>
      </w:pPr>
      <w:r>
        <w:rPr>
          <w:rFonts w:cs="Arial"/>
          <w:b/>
        </w:rPr>
        <w:br w:type="page"/>
      </w:r>
    </w:p>
    <w:p w:rsidR="008C0C4D" w:rsidRPr="00FF72CD" w:rsidRDefault="008C0C4D" w:rsidP="00FF72CD">
      <w:pPr>
        <w:spacing w:before="240" w:after="120"/>
        <w:rPr>
          <w:rFonts w:cs="Arial"/>
          <w:b/>
        </w:rPr>
      </w:pPr>
      <w:r w:rsidRPr="00FF72CD">
        <w:rPr>
          <w:rFonts w:cs="Arial"/>
          <w:b/>
        </w:rPr>
        <w:lastRenderedPageBreak/>
        <w:t>Service specific controls: schools</w:t>
      </w:r>
    </w:p>
    <w:p w:rsidR="008C0C4D" w:rsidRPr="009B68B0" w:rsidRDefault="008C0C4D" w:rsidP="00760960">
      <w:pPr>
        <w:spacing w:before="120" w:after="120"/>
        <w:rPr>
          <w:rFonts w:cs="Arial"/>
          <w:b/>
          <w:i/>
        </w:rPr>
      </w:pPr>
      <w:r w:rsidRPr="009B68B0">
        <w:rPr>
          <w:rFonts w:cs="Arial"/>
          <w:b/>
          <w:i/>
        </w:rPr>
        <w:t>School audit visits</w:t>
      </w:r>
    </w:p>
    <w:p w:rsidR="008C0C4D" w:rsidRPr="00EA40ED" w:rsidRDefault="008C0C4D" w:rsidP="00760960">
      <w:pPr>
        <w:pStyle w:val="ListParagraph"/>
        <w:numPr>
          <w:ilvl w:val="1"/>
          <w:numId w:val="2"/>
        </w:numPr>
        <w:spacing w:before="120" w:after="120"/>
        <w:contextualSpacing w:val="0"/>
        <w:rPr>
          <w:rFonts w:cs="Arial"/>
        </w:rPr>
      </w:pPr>
      <w:r>
        <w:rPr>
          <w:rFonts w:cs="Arial"/>
        </w:rPr>
        <w:t>W</w:t>
      </w:r>
      <w:r w:rsidRPr="00EA40ED">
        <w:rPr>
          <w:rFonts w:cs="Arial"/>
        </w:rPr>
        <w:t>e have completed audits of the county's schools with assurance results as follows: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5"/>
        <w:gridCol w:w="993"/>
        <w:gridCol w:w="1559"/>
        <w:gridCol w:w="1134"/>
        <w:gridCol w:w="850"/>
      </w:tblGrid>
      <w:tr w:rsidR="008C0C4D" w:rsidRPr="00C41CF6" w:rsidTr="00BB2BF1">
        <w:trPr>
          <w:cantSplit/>
          <w:trHeight w:val="192"/>
          <w:tblHeader/>
        </w:trPr>
        <w:tc>
          <w:tcPr>
            <w:tcW w:w="2835" w:type="dxa"/>
            <w:vMerge w:val="restart"/>
          </w:tcPr>
          <w:p w:rsidR="008C0C4D" w:rsidRPr="002102BB" w:rsidRDefault="008C0C4D" w:rsidP="00BB2BF1">
            <w:pPr>
              <w:spacing w:before="40" w:after="40"/>
              <w:rPr>
                <w:rFonts w:cs="Arial"/>
                <w:b/>
              </w:rPr>
            </w:pPr>
            <w:r w:rsidRPr="002102BB">
              <w:rPr>
                <w:rFonts w:cs="Arial"/>
                <w:b/>
              </w:rPr>
              <w:t>School type</w:t>
            </w:r>
          </w:p>
        </w:tc>
        <w:tc>
          <w:tcPr>
            <w:tcW w:w="1275" w:type="dxa"/>
            <w:vMerge w:val="restart"/>
          </w:tcPr>
          <w:p w:rsidR="008C0C4D" w:rsidRPr="002102BB" w:rsidRDefault="008C0C4D" w:rsidP="00BB2BF1">
            <w:pPr>
              <w:spacing w:before="40" w:after="40"/>
              <w:jc w:val="center"/>
              <w:rPr>
                <w:rFonts w:cs="Arial"/>
                <w:b/>
              </w:rPr>
            </w:pPr>
            <w:r w:rsidRPr="002102BB">
              <w:rPr>
                <w:rFonts w:cs="Arial"/>
                <w:b/>
              </w:rPr>
              <w:t>Number of audits</w:t>
            </w:r>
          </w:p>
        </w:tc>
        <w:tc>
          <w:tcPr>
            <w:tcW w:w="4536" w:type="dxa"/>
            <w:gridSpan w:val="4"/>
            <w:tcBorders>
              <w:bottom w:val="nil"/>
            </w:tcBorders>
          </w:tcPr>
          <w:p w:rsidR="008C0C4D" w:rsidRPr="002102BB" w:rsidRDefault="008C0C4D" w:rsidP="00BB2BF1">
            <w:pPr>
              <w:spacing w:before="40" w:after="40"/>
              <w:jc w:val="center"/>
              <w:rPr>
                <w:rFonts w:cs="Arial"/>
                <w:b/>
              </w:rPr>
            </w:pPr>
            <w:r w:rsidRPr="002102BB">
              <w:rPr>
                <w:rFonts w:cs="Arial"/>
                <w:b/>
              </w:rPr>
              <w:t>Level of assurance</w:t>
            </w:r>
          </w:p>
        </w:tc>
      </w:tr>
      <w:tr w:rsidR="008C0C4D" w:rsidRPr="00C41CF6" w:rsidTr="00BB2BF1">
        <w:trPr>
          <w:cantSplit/>
          <w:trHeight w:val="70"/>
          <w:tblHeader/>
        </w:trPr>
        <w:tc>
          <w:tcPr>
            <w:tcW w:w="2835" w:type="dxa"/>
            <w:vMerge/>
            <w:tcBorders>
              <w:bottom w:val="single" w:sz="4" w:space="0" w:color="auto"/>
            </w:tcBorders>
          </w:tcPr>
          <w:p w:rsidR="008C0C4D" w:rsidRPr="002102BB" w:rsidRDefault="008C0C4D" w:rsidP="00BB2BF1">
            <w:pPr>
              <w:spacing w:before="40" w:after="40"/>
              <w:rPr>
                <w:rFonts w:cs="Arial"/>
                <w:b/>
              </w:rPr>
            </w:pPr>
          </w:p>
        </w:tc>
        <w:tc>
          <w:tcPr>
            <w:tcW w:w="1275" w:type="dxa"/>
            <w:vMerge/>
            <w:tcBorders>
              <w:bottom w:val="single" w:sz="4" w:space="0" w:color="auto"/>
            </w:tcBorders>
          </w:tcPr>
          <w:p w:rsidR="008C0C4D" w:rsidRPr="002102BB" w:rsidRDefault="008C0C4D" w:rsidP="00BB2BF1">
            <w:pPr>
              <w:spacing w:before="40" w:after="40"/>
              <w:jc w:val="center"/>
              <w:rPr>
                <w:rFonts w:cs="Arial"/>
                <w:b/>
              </w:rPr>
            </w:pPr>
          </w:p>
        </w:tc>
        <w:tc>
          <w:tcPr>
            <w:tcW w:w="993" w:type="dxa"/>
            <w:tcBorders>
              <w:top w:val="nil"/>
              <w:bottom w:val="single" w:sz="4" w:space="0" w:color="auto"/>
              <w:right w:val="nil"/>
            </w:tcBorders>
          </w:tcPr>
          <w:p w:rsidR="008C0C4D" w:rsidRPr="002102BB" w:rsidRDefault="008C0C4D" w:rsidP="00BB2BF1">
            <w:pPr>
              <w:spacing w:before="40" w:after="40"/>
              <w:jc w:val="center"/>
              <w:rPr>
                <w:rFonts w:cs="Arial"/>
                <w:b/>
              </w:rPr>
            </w:pPr>
            <w:r w:rsidRPr="002102BB">
              <w:rPr>
                <w:rFonts w:cs="Arial"/>
                <w:b/>
              </w:rPr>
              <w:t>Full</w:t>
            </w:r>
          </w:p>
        </w:tc>
        <w:tc>
          <w:tcPr>
            <w:tcW w:w="1559" w:type="dxa"/>
            <w:tcBorders>
              <w:top w:val="nil"/>
              <w:left w:val="nil"/>
              <w:bottom w:val="single" w:sz="4" w:space="0" w:color="auto"/>
              <w:right w:val="nil"/>
            </w:tcBorders>
          </w:tcPr>
          <w:p w:rsidR="008C0C4D" w:rsidRPr="002102BB" w:rsidRDefault="008C0C4D" w:rsidP="00BB2BF1">
            <w:pPr>
              <w:spacing w:before="40" w:after="40"/>
              <w:jc w:val="center"/>
              <w:rPr>
                <w:rFonts w:cs="Arial"/>
                <w:b/>
              </w:rPr>
            </w:pPr>
            <w:r w:rsidRPr="002102BB">
              <w:rPr>
                <w:rFonts w:cs="Arial"/>
                <w:b/>
              </w:rPr>
              <w:t>Substantial</w:t>
            </w:r>
          </w:p>
        </w:tc>
        <w:tc>
          <w:tcPr>
            <w:tcW w:w="1134" w:type="dxa"/>
            <w:tcBorders>
              <w:top w:val="nil"/>
              <w:left w:val="nil"/>
              <w:bottom w:val="single" w:sz="4" w:space="0" w:color="auto"/>
              <w:right w:val="nil"/>
            </w:tcBorders>
          </w:tcPr>
          <w:p w:rsidR="008C0C4D" w:rsidRPr="002102BB" w:rsidRDefault="008C0C4D" w:rsidP="00BB2BF1">
            <w:pPr>
              <w:spacing w:before="40" w:after="40"/>
              <w:jc w:val="center"/>
              <w:rPr>
                <w:rFonts w:cs="Arial"/>
                <w:b/>
              </w:rPr>
            </w:pPr>
            <w:r w:rsidRPr="002102BB">
              <w:rPr>
                <w:rFonts w:cs="Arial"/>
                <w:b/>
              </w:rPr>
              <w:t>Limited</w:t>
            </w:r>
          </w:p>
        </w:tc>
        <w:tc>
          <w:tcPr>
            <w:tcW w:w="850" w:type="dxa"/>
            <w:tcBorders>
              <w:top w:val="nil"/>
              <w:left w:val="nil"/>
              <w:bottom w:val="single" w:sz="4" w:space="0" w:color="auto"/>
            </w:tcBorders>
          </w:tcPr>
          <w:p w:rsidR="008C0C4D" w:rsidRPr="002102BB" w:rsidRDefault="008C0C4D" w:rsidP="00BB2BF1">
            <w:pPr>
              <w:spacing w:before="40" w:after="40"/>
              <w:jc w:val="center"/>
              <w:rPr>
                <w:rFonts w:cs="Arial"/>
                <w:b/>
              </w:rPr>
            </w:pPr>
            <w:r w:rsidRPr="002102BB">
              <w:rPr>
                <w:rFonts w:cs="Arial"/>
                <w:b/>
              </w:rPr>
              <w:t>None</w:t>
            </w:r>
          </w:p>
        </w:tc>
      </w:tr>
      <w:tr w:rsidR="008C0C4D" w:rsidRPr="00EA0433" w:rsidTr="00BB2BF1">
        <w:trPr>
          <w:cantSplit/>
          <w:trHeight w:val="70"/>
          <w:tblHeader/>
        </w:trPr>
        <w:tc>
          <w:tcPr>
            <w:tcW w:w="2835" w:type="dxa"/>
            <w:tcBorders>
              <w:top w:val="single" w:sz="4" w:space="0" w:color="auto"/>
              <w:bottom w:val="single" w:sz="4" w:space="0" w:color="auto"/>
            </w:tcBorders>
          </w:tcPr>
          <w:p w:rsidR="008C0C4D" w:rsidRPr="002102BB" w:rsidRDefault="008C0C4D" w:rsidP="00BB2BF1">
            <w:pPr>
              <w:spacing w:before="40" w:after="40"/>
              <w:rPr>
                <w:rFonts w:cs="Arial"/>
              </w:rPr>
            </w:pPr>
            <w:r w:rsidRPr="002102BB">
              <w:rPr>
                <w:rFonts w:cs="Arial"/>
              </w:rPr>
              <w:t>High school</w:t>
            </w:r>
          </w:p>
        </w:tc>
        <w:tc>
          <w:tcPr>
            <w:tcW w:w="1275" w:type="dxa"/>
            <w:tcBorders>
              <w:top w:val="single" w:sz="4" w:space="0" w:color="auto"/>
            </w:tcBorders>
          </w:tcPr>
          <w:p w:rsidR="008C0C4D" w:rsidRPr="002102BB" w:rsidRDefault="008C0C4D" w:rsidP="00BB2BF1">
            <w:pPr>
              <w:spacing w:before="40" w:after="40"/>
              <w:jc w:val="center"/>
              <w:rPr>
                <w:rFonts w:cs="Arial"/>
              </w:rPr>
            </w:pPr>
            <w:r w:rsidRPr="002102BB">
              <w:rPr>
                <w:rFonts w:cs="Arial"/>
              </w:rPr>
              <w:t>8</w:t>
            </w:r>
          </w:p>
        </w:tc>
        <w:tc>
          <w:tcPr>
            <w:tcW w:w="993" w:type="dxa"/>
            <w:tcBorders>
              <w:top w:val="single" w:sz="4" w:space="0" w:color="auto"/>
            </w:tcBorders>
          </w:tcPr>
          <w:p w:rsidR="008C0C4D" w:rsidRPr="002102BB" w:rsidRDefault="008C0C4D" w:rsidP="00BB2BF1">
            <w:pPr>
              <w:spacing w:before="40" w:after="40"/>
              <w:jc w:val="center"/>
              <w:rPr>
                <w:rFonts w:cs="Arial"/>
              </w:rPr>
            </w:pPr>
            <w:r w:rsidRPr="002102BB">
              <w:rPr>
                <w:rFonts w:cs="Arial"/>
              </w:rPr>
              <w:t>-</w:t>
            </w:r>
          </w:p>
        </w:tc>
        <w:tc>
          <w:tcPr>
            <w:tcW w:w="1559" w:type="dxa"/>
            <w:tcBorders>
              <w:top w:val="nil"/>
              <w:bottom w:val="single" w:sz="4" w:space="0" w:color="auto"/>
            </w:tcBorders>
          </w:tcPr>
          <w:p w:rsidR="008C0C4D" w:rsidRPr="002102BB" w:rsidRDefault="008C0C4D" w:rsidP="00BB2BF1">
            <w:pPr>
              <w:spacing w:before="40" w:after="40"/>
              <w:jc w:val="center"/>
              <w:rPr>
                <w:rFonts w:cs="Arial"/>
              </w:rPr>
            </w:pPr>
            <w:r w:rsidRPr="002102BB">
              <w:rPr>
                <w:rFonts w:cs="Arial"/>
              </w:rPr>
              <w:t>6</w:t>
            </w:r>
          </w:p>
        </w:tc>
        <w:tc>
          <w:tcPr>
            <w:tcW w:w="1134" w:type="dxa"/>
            <w:tcBorders>
              <w:top w:val="single" w:sz="4" w:space="0" w:color="auto"/>
            </w:tcBorders>
          </w:tcPr>
          <w:p w:rsidR="008C0C4D" w:rsidRPr="002102BB" w:rsidRDefault="008C0C4D" w:rsidP="00BB2BF1">
            <w:pPr>
              <w:spacing w:before="40" w:after="40"/>
              <w:jc w:val="center"/>
              <w:rPr>
                <w:rFonts w:cs="Arial"/>
              </w:rPr>
            </w:pPr>
            <w:r w:rsidRPr="002102BB">
              <w:rPr>
                <w:rFonts w:cs="Arial"/>
              </w:rPr>
              <w:t>2</w:t>
            </w:r>
          </w:p>
        </w:tc>
        <w:tc>
          <w:tcPr>
            <w:tcW w:w="850" w:type="dxa"/>
            <w:tcBorders>
              <w:top w:val="single" w:sz="4" w:space="0" w:color="auto"/>
              <w:bottom w:val="single" w:sz="4" w:space="0" w:color="auto"/>
            </w:tcBorders>
          </w:tcPr>
          <w:p w:rsidR="008C0C4D" w:rsidRPr="002102BB" w:rsidRDefault="008C0C4D" w:rsidP="00BB2BF1">
            <w:pPr>
              <w:spacing w:before="40" w:after="40"/>
              <w:jc w:val="center"/>
              <w:rPr>
                <w:rFonts w:cs="Arial"/>
              </w:rPr>
            </w:pPr>
            <w:r w:rsidRPr="002102BB">
              <w:rPr>
                <w:rFonts w:cs="Arial"/>
              </w:rPr>
              <w:t>-</w:t>
            </w:r>
          </w:p>
        </w:tc>
      </w:tr>
      <w:tr w:rsidR="008C0C4D" w:rsidRPr="00EA0433" w:rsidTr="00BB2BF1">
        <w:trPr>
          <w:cantSplit/>
          <w:trHeight w:val="70"/>
          <w:tblHeader/>
        </w:trPr>
        <w:tc>
          <w:tcPr>
            <w:tcW w:w="2835" w:type="dxa"/>
            <w:tcBorders>
              <w:top w:val="single" w:sz="4" w:space="0" w:color="auto"/>
              <w:bottom w:val="single" w:sz="4" w:space="0" w:color="auto"/>
            </w:tcBorders>
          </w:tcPr>
          <w:p w:rsidR="008C0C4D" w:rsidRPr="002102BB" w:rsidRDefault="008C0C4D" w:rsidP="00BB2BF1">
            <w:pPr>
              <w:spacing w:before="40" w:after="40"/>
              <w:rPr>
                <w:rFonts w:cs="Arial"/>
              </w:rPr>
            </w:pPr>
            <w:r w:rsidRPr="002102BB">
              <w:rPr>
                <w:rFonts w:cs="Arial"/>
              </w:rPr>
              <w:t>Primary school</w:t>
            </w:r>
          </w:p>
        </w:tc>
        <w:tc>
          <w:tcPr>
            <w:tcW w:w="1275" w:type="dxa"/>
          </w:tcPr>
          <w:p w:rsidR="008C0C4D" w:rsidRPr="002102BB" w:rsidRDefault="008C0C4D" w:rsidP="00BB2BF1">
            <w:pPr>
              <w:spacing w:before="40" w:after="40"/>
              <w:jc w:val="center"/>
              <w:rPr>
                <w:rFonts w:cs="Arial"/>
              </w:rPr>
            </w:pPr>
            <w:r w:rsidRPr="002102BB">
              <w:rPr>
                <w:rFonts w:cs="Arial"/>
              </w:rPr>
              <w:t>14</w:t>
            </w:r>
          </w:p>
        </w:tc>
        <w:tc>
          <w:tcPr>
            <w:tcW w:w="993" w:type="dxa"/>
          </w:tcPr>
          <w:p w:rsidR="008C0C4D" w:rsidRPr="002102BB" w:rsidRDefault="008C0C4D" w:rsidP="00BB2BF1">
            <w:pPr>
              <w:spacing w:before="40" w:after="40"/>
              <w:jc w:val="center"/>
              <w:rPr>
                <w:rFonts w:cs="Arial"/>
              </w:rPr>
            </w:pPr>
            <w:r w:rsidRPr="002102BB">
              <w:rPr>
                <w:rFonts w:cs="Arial"/>
              </w:rPr>
              <w:t>-</w:t>
            </w:r>
          </w:p>
        </w:tc>
        <w:tc>
          <w:tcPr>
            <w:tcW w:w="1559" w:type="dxa"/>
            <w:tcBorders>
              <w:top w:val="single" w:sz="4" w:space="0" w:color="auto"/>
              <w:bottom w:val="single" w:sz="4" w:space="0" w:color="auto"/>
            </w:tcBorders>
          </w:tcPr>
          <w:p w:rsidR="008C0C4D" w:rsidRPr="002102BB" w:rsidRDefault="008C0C4D" w:rsidP="00BB2BF1">
            <w:pPr>
              <w:spacing w:before="40" w:after="40"/>
              <w:jc w:val="center"/>
              <w:rPr>
                <w:rFonts w:cs="Arial"/>
              </w:rPr>
            </w:pPr>
            <w:r w:rsidRPr="002102BB">
              <w:rPr>
                <w:rFonts w:cs="Arial"/>
              </w:rPr>
              <w:t>12</w:t>
            </w:r>
          </w:p>
        </w:tc>
        <w:tc>
          <w:tcPr>
            <w:tcW w:w="1134" w:type="dxa"/>
          </w:tcPr>
          <w:p w:rsidR="008C0C4D" w:rsidRPr="002102BB" w:rsidRDefault="008C0C4D" w:rsidP="00BB2BF1">
            <w:pPr>
              <w:spacing w:before="40" w:after="40"/>
              <w:jc w:val="center"/>
              <w:rPr>
                <w:rFonts w:cs="Arial"/>
              </w:rPr>
            </w:pPr>
            <w:r w:rsidRPr="002102BB">
              <w:rPr>
                <w:rFonts w:cs="Arial"/>
              </w:rPr>
              <w:t>-</w:t>
            </w:r>
          </w:p>
        </w:tc>
        <w:tc>
          <w:tcPr>
            <w:tcW w:w="850" w:type="dxa"/>
            <w:tcBorders>
              <w:top w:val="single" w:sz="4" w:space="0" w:color="auto"/>
              <w:bottom w:val="single" w:sz="4" w:space="0" w:color="auto"/>
            </w:tcBorders>
          </w:tcPr>
          <w:p w:rsidR="008C0C4D" w:rsidRPr="002102BB" w:rsidRDefault="008C0C4D" w:rsidP="00BB2BF1">
            <w:pPr>
              <w:spacing w:before="40" w:after="40"/>
              <w:jc w:val="center"/>
              <w:rPr>
                <w:rFonts w:cs="Arial"/>
              </w:rPr>
            </w:pPr>
            <w:r w:rsidRPr="002102BB">
              <w:rPr>
                <w:rFonts w:cs="Arial"/>
              </w:rPr>
              <w:t>2</w:t>
            </w:r>
          </w:p>
        </w:tc>
      </w:tr>
      <w:tr w:rsidR="008C0C4D" w:rsidRPr="00EA0433" w:rsidTr="00BB2BF1">
        <w:trPr>
          <w:cantSplit/>
          <w:trHeight w:val="70"/>
          <w:tblHeader/>
        </w:trPr>
        <w:tc>
          <w:tcPr>
            <w:tcW w:w="2835" w:type="dxa"/>
            <w:tcBorders>
              <w:top w:val="single" w:sz="4" w:space="0" w:color="auto"/>
              <w:bottom w:val="single" w:sz="4" w:space="0" w:color="auto"/>
            </w:tcBorders>
          </w:tcPr>
          <w:p w:rsidR="008C0C4D" w:rsidRPr="002102BB" w:rsidRDefault="008C0C4D" w:rsidP="00BB2BF1">
            <w:pPr>
              <w:spacing w:before="40" w:after="40"/>
              <w:rPr>
                <w:rFonts w:cs="Arial"/>
              </w:rPr>
            </w:pPr>
            <w:r w:rsidRPr="002102BB">
              <w:rPr>
                <w:rFonts w:cs="Arial"/>
              </w:rPr>
              <w:t>Nursery/ special school</w:t>
            </w:r>
          </w:p>
        </w:tc>
        <w:tc>
          <w:tcPr>
            <w:tcW w:w="1275" w:type="dxa"/>
          </w:tcPr>
          <w:p w:rsidR="008C0C4D" w:rsidRPr="002102BB" w:rsidRDefault="008C0C4D" w:rsidP="00BB2BF1">
            <w:pPr>
              <w:spacing w:before="40" w:after="40"/>
              <w:jc w:val="center"/>
              <w:rPr>
                <w:rFonts w:cs="Arial"/>
              </w:rPr>
            </w:pPr>
            <w:r w:rsidRPr="002102BB">
              <w:rPr>
                <w:rFonts w:cs="Arial"/>
              </w:rPr>
              <w:t>3</w:t>
            </w:r>
          </w:p>
        </w:tc>
        <w:tc>
          <w:tcPr>
            <w:tcW w:w="993" w:type="dxa"/>
          </w:tcPr>
          <w:p w:rsidR="008C0C4D" w:rsidRPr="002102BB" w:rsidRDefault="008C0C4D" w:rsidP="00BB2BF1">
            <w:pPr>
              <w:spacing w:before="40" w:after="40"/>
              <w:jc w:val="center"/>
              <w:rPr>
                <w:rFonts w:cs="Arial"/>
              </w:rPr>
            </w:pPr>
            <w:r w:rsidRPr="002102BB">
              <w:rPr>
                <w:rFonts w:cs="Arial"/>
              </w:rPr>
              <w:t>-</w:t>
            </w:r>
          </w:p>
        </w:tc>
        <w:tc>
          <w:tcPr>
            <w:tcW w:w="1559" w:type="dxa"/>
            <w:tcBorders>
              <w:top w:val="single" w:sz="4" w:space="0" w:color="auto"/>
              <w:bottom w:val="single" w:sz="4" w:space="0" w:color="auto"/>
            </w:tcBorders>
          </w:tcPr>
          <w:p w:rsidR="008C0C4D" w:rsidRPr="002102BB" w:rsidRDefault="008C0C4D" w:rsidP="00BB2BF1">
            <w:pPr>
              <w:spacing w:before="40" w:after="40"/>
              <w:jc w:val="center"/>
              <w:rPr>
                <w:rFonts w:cs="Arial"/>
              </w:rPr>
            </w:pPr>
            <w:r w:rsidRPr="002102BB">
              <w:rPr>
                <w:rFonts w:cs="Arial"/>
              </w:rPr>
              <w:t>-</w:t>
            </w:r>
          </w:p>
        </w:tc>
        <w:tc>
          <w:tcPr>
            <w:tcW w:w="1134" w:type="dxa"/>
          </w:tcPr>
          <w:p w:rsidR="008C0C4D" w:rsidRPr="002102BB" w:rsidRDefault="008C0C4D" w:rsidP="00BB2BF1">
            <w:pPr>
              <w:spacing w:before="40" w:after="40"/>
              <w:jc w:val="center"/>
              <w:rPr>
                <w:rFonts w:cs="Arial"/>
              </w:rPr>
            </w:pPr>
            <w:r w:rsidRPr="002102BB">
              <w:rPr>
                <w:rFonts w:cs="Arial"/>
              </w:rPr>
              <w:t>-</w:t>
            </w:r>
          </w:p>
        </w:tc>
        <w:tc>
          <w:tcPr>
            <w:tcW w:w="850" w:type="dxa"/>
            <w:tcBorders>
              <w:top w:val="single" w:sz="4" w:space="0" w:color="auto"/>
              <w:bottom w:val="single" w:sz="4" w:space="0" w:color="auto"/>
            </w:tcBorders>
          </w:tcPr>
          <w:p w:rsidR="008C0C4D" w:rsidRPr="002102BB" w:rsidRDefault="008C0C4D" w:rsidP="00BB2BF1">
            <w:pPr>
              <w:spacing w:before="40" w:after="40"/>
              <w:jc w:val="center"/>
              <w:rPr>
                <w:rFonts w:cs="Arial"/>
              </w:rPr>
            </w:pPr>
            <w:r w:rsidRPr="002102BB">
              <w:rPr>
                <w:rFonts w:cs="Arial"/>
              </w:rPr>
              <w:t>3</w:t>
            </w:r>
          </w:p>
        </w:tc>
      </w:tr>
      <w:tr w:rsidR="008C0C4D" w:rsidRPr="00C41CF6" w:rsidTr="00BB2BF1">
        <w:trPr>
          <w:cantSplit/>
          <w:trHeight w:val="70"/>
          <w:tblHeader/>
        </w:trPr>
        <w:tc>
          <w:tcPr>
            <w:tcW w:w="2835" w:type="dxa"/>
            <w:tcBorders>
              <w:top w:val="single" w:sz="4" w:space="0" w:color="auto"/>
              <w:bottom w:val="single" w:sz="4" w:space="0" w:color="auto"/>
            </w:tcBorders>
          </w:tcPr>
          <w:p w:rsidR="008C0C4D" w:rsidRPr="002102BB" w:rsidRDefault="008C0C4D" w:rsidP="00BB2BF1">
            <w:pPr>
              <w:spacing w:before="40" w:after="40"/>
              <w:rPr>
                <w:rFonts w:cs="Arial"/>
                <w:b/>
              </w:rPr>
            </w:pPr>
            <w:r w:rsidRPr="002102BB">
              <w:rPr>
                <w:rFonts w:cs="Arial"/>
                <w:b/>
              </w:rPr>
              <w:t>Total</w:t>
            </w:r>
          </w:p>
        </w:tc>
        <w:tc>
          <w:tcPr>
            <w:tcW w:w="1275" w:type="dxa"/>
            <w:tcBorders>
              <w:bottom w:val="single" w:sz="4" w:space="0" w:color="auto"/>
            </w:tcBorders>
          </w:tcPr>
          <w:p w:rsidR="008C0C4D" w:rsidRPr="002102BB" w:rsidRDefault="008C0C4D" w:rsidP="00BB2BF1">
            <w:pPr>
              <w:spacing w:before="40" w:after="40"/>
              <w:jc w:val="center"/>
              <w:rPr>
                <w:rFonts w:cs="Arial"/>
                <w:b/>
              </w:rPr>
            </w:pPr>
            <w:r w:rsidRPr="002102BB">
              <w:rPr>
                <w:rFonts w:cs="Arial"/>
                <w:b/>
              </w:rPr>
              <w:t>25</w:t>
            </w:r>
          </w:p>
        </w:tc>
        <w:tc>
          <w:tcPr>
            <w:tcW w:w="993" w:type="dxa"/>
            <w:tcBorders>
              <w:bottom w:val="single" w:sz="4" w:space="0" w:color="auto"/>
            </w:tcBorders>
          </w:tcPr>
          <w:p w:rsidR="008C0C4D" w:rsidRPr="002102BB" w:rsidRDefault="008C0C4D" w:rsidP="00BB2BF1">
            <w:pPr>
              <w:spacing w:before="40" w:after="40"/>
              <w:jc w:val="center"/>
              <w:rPr>
                <w:rFonts w:cs="Arial"/>
                <w:b/>
              </w:rPr>
            </w:pPr>
            <w:r w:rsidRPr="002102BB">
              <w:rPr>
                <w:rFonts w:cs="Arial"/>
                <w:b/>
              </w:rPr>
              <w:t>-</w:t>
            </w:r>
          </w:p>
        </w:tc>
        <w:tc>
          <w:tcPr>
            <w:tcW w:w="1559" w:type="dxa"/>
            <w:tcBorders>
              <w:top w:val="single" w:sz="4" w:space="0" w:color="auto"/>
              <w:bottom w:val="single" w:sz="4" w:space="0" w:color="auto"/>
            </w:tcBorders>
          </w:tcPr>
          <w:p w:rsidR="008C0C4D" w:rsidRPr="002102BB" w:rsidRDefault="008C0C4D" w:rsidP="00BB2BF1">
            <w:pPr>
              <w:spacing w:before="40" w:after="40"/>
              <w:jc w:val="center"/>
              <w:rPr>
                <w:rFonts w:cs="Arial"/>
                <w:b/>
              </w:rPr>
            </w:pPr>
            <w:r w:rsidRPr="002102BB">
              <w:rPr>
                <w:rFonts w:cs="Arial"/>
                <w:b/>
              </w:rPr>
              <w:t>18</w:t>
            </w:r>
          </w:p>
        </w:tc>
        <w:tc>
          <w:tcPr>
            <w:tcW w:w="1134" w:type="dxa"/>
            <w:tcBorders>
              <w:bottom w:val="single" w:sz="4" w:space="0" w:color="auto"/>
            </w:tcBorders>
          </w:tcPr>
          <w:p w:rsidR="008C0C4D" w:rsidRPr="002102BB" w:rsidRDefault="008C0C4D" w:rsidP="00BB2BF1">
            <w:pPr>
              <w:spacing w:before="40" w:after="40"/>
              <w:jc w:val="center"/>
              <w:rPr>
                <w:rFonts w:cs="Arial"/>
                <w:b/>
              </w:rPr>
            </w:pPr>
            <w:r w:rsidRPr="002102BB">
              <w:rPr>
                <w:rFonts w:cs="Arial"/>
                <w:b/>
              </w:rPr>
              <w:t>2</w:t>
            </w:r>
          </w:p>
        </w:tc>
        <w:tc>
          <w:tcPr>
            <w:tcW w:w="850" w:type="dxa"/>
            <w:tcBorders>
              <w:top w:val="single" w:sz="4" w:space="0" w:color="auto"/>
              <w:bottom w:val="single" w:sz="4" w:space="0" w:color="auto"/>
            </w:tcBorders>
          </w:tcPr>
          <w:p w:rsidR="008C0C4D" w:rsidRPr="002102BB" w:rsidRDefault="008C0C4D" w:rsidP="00BB2BF1">
            <w:pPr>
              <w:spacing w:before="40" w:after="40"/>
              <w:jc w:val="center"/>
              <w:rPr>
                <w:rFonts w:cs="Arial"/>
                <w:b/>
              </w:rPr>
            </w:pPr>
            <w:r w:rsidRPr="002102BB">
              <w:rPr>
                <w:rFonts w:cs="Arial"/>
                <w:b/>
              </w:rPr>
              <w:t>5</w:t>
            </w:r>
          </w:p>
        </w:tc>
      </w:tr>
    </w:tbl>
    <w:p w:rsidR="008C0C4D" w:rsidRDefault="008C0C4D" w:rsidP="00760960">
      <w:pPr>
        <w:pStyle w:val="ListParagraph"/>
        <w:numPr>
          <w:ilvl w:val="1"/>
          <w:numId w:val="2"/>
        </w:numPr>
        <w:spacing w:before="120" w:after="120"/>
        <w:contextualSpacing w:val="0"/>
        <w:rPr>
          <w:rFonts w:cs="Arial"/>
        </w:rPr>
      </w:pPr>
      <w:r w:rsidRPr="00AB1955">
        <w:rPr>
          <w:rFonts w:cs="Arial"/>
        </w:rPr>
        <w:t>We have followed up the actions agreed during 2012/13</w:t>
      </w:r>
      <w:r>
        <w:rPr>
          <w:rFonts w:cs="Arial"/>
        </w:rPr>
        <w:t xml:space="preserve"> </w:t>
      </w:r>
      <w:r w:rsidR="00D47D81">
        <w:rPr>
          <w:rFonts w:cs="Arial"/>
        </w:rPr>
        <w:t xml:space="preserve">and 2013/14 </w:t>
      </w:r>
      <w:r w:rsidRPr="00AB1955">
        <w:rPr>
          <w:rFonts w:cs="Arial"/>
        </w:rPr>
        <w:t xml:space="preserve">with </w:t>
      </w:r>
      <w:r w:rsidR="00D47D81">
        <w:rPr>
          <w:rFonts w:cs="Arial"/>
        </w:rPr>
        <w:t xml:space="preserve">a number of </w:t>
      </w:r>
      <w:r w:rsidRPr="00AB1955">
        <w:rPr>
          <w:rFonts w:cs="Arial"/>
        </w:rPr>
        <w:t xml:space="preserve">the schools where we provided only limited or no assurance to assess whether improvement is being made to the controls over their finances. </w:t>
      </w:r>
      <w:r>
        <w:rPr>
          <w:rFonts w:cs="Arial"/>
        </w:rPr>
        <w:t>Each of the schools whose actions we have followed up has implemented appropriately improved controls.</w:t>
      </w:r>
    </w:p>
    <w:p w:rsidR="008C0C4D" w:rsidRPr="00AB1955" w:rsidRDefault="008C0C4D" w:rsidP="00760960">
      <w:pPr>
        <w:pStyle w:val="ListParagraph"/>
        <w:numPr>
          <w:ilvl w:val="1"/>
          <w:numId w:val="2"/>
        </w:numPr>
        <w:spacing w:before="120" w:after="120"/>
        <w:contextualSpacing w:val="0"/>
        <w:rPr>
          <w:rFonts w:cs="Arial"/>
        </w:rPr>
      </w:pPr>
      <w:r>
        <w:rPr>
          <w:rFonts w:cs="Arial"/>
        </w:rPr>
        <w:t xml:space="preserve">We have issued five school audit reports with no assurance during the year. In four of these cases </w:t>
      </w:r>
      <w:r w:rsidR="00760960">
        <w:rPr>
          <w:rFonts w:cs="Arial"/>
        </w:rPr>
        <w:t>this work was</w:t>
      </w:r>
      <w:r>
        <w:rPr>
          <w:rFonts w:cs="Arial"/>
        </w:rPr>
        <w:t xml:space="preserve"> initiated because we have also conducted a disciplinary investigation at the school. All schools that receive no assurance are reported to the council's School Improvement Challenge Board (SICB) so that appropriate support </w:t>
      </w:r>
      <w:r w:rsidR="00FA326F">
        <w:rPr>
          <w:rFonts w:cs="Arial"/>
        </w:rPr>
        <w:t>may be</w:t>
      </w:r>
      <w:r>
        <w:rPr>
          <w:rFonts w:cs="Arial"/>
        </w:rPr>
        <w:t xml:space="preserve"> provided by the council to these schools.</w:t>
      </w:r>
    </w:p>
    <w:p w:rsidR="008C0C4D" w:rsidRPr="00760960" w:rsidRDefault="008C0C4D" w:rsidP="00760960">
      <w:pPr>
        <w:spacing w:before="120" w:after="120"/>
        <w:ind w:left="360" w:hanging="360"/>
        <w:rPr>
          <w:rFonts w:cs="Arial"/>
          <w:b/>
          <w:i/>
        </w:rPr>
      </w:pPr>
      <w:r w:rsidRPr="00760960">
        <w:rPr>
          <w:rFonts w:cs="Arial"/>
          <w:b/>
          <w:i/>
        </w:rPr>
        <w:t xml:space="preserve">Schools with new bank accounts: </w:t>
      </w:r>
      <w:r w:rsidRPr="00760960">
        <w:rPr>
          <w:rFonts w:cs="Arial"/>
          <w:i/>
        </w:rPr>
        <w:t>limited assurance</w:t>
      </w:r>
    </w:p>
    <w:p w:rsidR="008C0C4D" w:rsidRDefault="008C0C4D" w:rsidP="00760960">
      <w:pPr>
        <w:pStyle w:val="ListParagraph"/>
        <w:numPr>
          <w:ilvl w:val="1"/>
          <w:numId w:val="2"/>
        </w:numPr>
        <w:spacing w:before="120" w:after="120"/>
        <w:contextualSpacing w:val="0"/>
        <w:rPr>
          <w:rFonts w:cs="Arial"/>
        </w:rPr>
      </w:pPr>
      <w:r w:rsidRPr="00984D01">
        <w:rPr>
          <w:rFonts w:cs="Arial"/>
        </w:rPr>
        <w:t xml:space="preserve">We have reviewed the adequacy and effectiveness of the council's controls over schools which have recently chosen to have their own bank accounts. </w:t>
      </w:r>
      <w:r>
        <w:rPr>
          <w:rFonts w:cs="Arial"/>
        </w:rPr>
        <w:t xml:space="preserve">There are a number of weaknesses in these controls and </w:t>
      </w:r>
      <w:r w:rsidRPr="00984D01">
        <w:rPr>
          <w:rFonts w:cs="Arial"/>
        </w:rPr>
        <w:t>the Head of Finance (C</w:t>
      </w:r>
      <w:r>
        <w:rPr>
          <w:rFonts w:cs="Arial"/>
        </w:rPr>
        <w:t>apital</w:t>
      </w:r>
      <w:r w:rsidRPr="00984D01">
        <w:rPr>
          <w:rFonts w:cs="Arial"/>
        </w:rPr>
        <w:t xml:space="preserve"> and Schools) </w:t>
      </w:r>
      <w:r w:rsidR="00760960">
        <w:rPr>
          <w:rFonts w:cs="Arial"/>
        </w:rPr>
        <w:t xml:space="preserve">will </w:t>
      </w:r>
      <w:r>
        <w:rPr>
          <w:rFonts w:cs="Arial"/>
        </w:rPr>
        <w:t>facilitate</w:t>
      </w:r>
      <w:r w:rsidRPr="00984D01">
        <w:rPr>
          <w:rFonts w:cs="Arial"/>
        </w:rPr>
        <w:t xml:space="preserve"> a review of the </w:t>
      </w:r>
      <w:r>
        <w:rPr>
          <w:rFonts w:cs="Arial"/>
        </w:rPr>
        <w:t xml:space="preserve">council's </w:t>
      </w:r>
      <w:r w:rsidRPr="00984D01">
        <w:rPr>
          <w:rFonts w:cs="Arial"/>
        </w:rPr>
        <w:t>overall financial control framework</w:t>
      </w:r>
      <w:r>
        <w:rPr>
          <w:rFonts w:cs="Arial"/>
        </w:rPr>
        <w:t xml:space="preserve"> over </w:t>
      </w:r>
      <w:r w:rsidRPr="00984D01">
        <w:rPr>
          <w:rFonts w:cs="Arial"/>
        </w:rPr>
        <w:t>schools</w:t>
      </w:r>
      <w:r w:rsidR="00760960">
        <w:rPr>
          <w:rFonts w:cs="Arial"/>
        </w:rPr>
        <w:t xml:space="preserve"> during 2015/16</w:t>
      </w:r>
      <w:r>
        <w:rPr>
          <w:rFonts w:cs="Arial"/>
        </w:rPr>
        <w:t>.</w:t>
      </w:r>
    </w:p>
    <w:p w:rsidR="008C0C4D" w:rsidRPr="00984D01" w:rsidRDefault="008C0C4D" w:rsidP="00760960">
      <w:pPr>
        <w:pStyle w:val="ListParagraph"/>
        <w:numPr>
          <w:ilvl w:val="1"/>
          <w:numId w:val="2"/>
        </w:numPr>
        <w:spacing w:before="120" w:after="120"/>
        <w:contextualSpacing w:val="0"/>
        <w:rPr>
          <w:rFonts w:cs="Arial"/>
        </w:rPr>
      </w:pPr>
      <w:r>
        <w:rPr>
          <w:rFonts w:cs="Arial"/>
        </w:rPr>
        <w:t>In particular, t</w:t>
      </w:r>
      <w:r w:rsidRPr="00984D01">
        <w:rPr>
          <w:rFonts w:cs="Arial"/>
        </w:rPr>
        <w:t xml:space="preserve">raining is available from the Westfield Centre for officers involved in administering school bank accounts, but </w:t>
      </w:r>
      <w:r>
        <w:rPr>
          <w:rFonts w:cs="Arial"/>
        </w:rPr>
        <w:t xml:space="preserve">this </w:t>
      </w:r>
      <w:r w:rsidRPr="00984D01">
        <w:rPr>
          <w:rFonts w:cs="Arial"/>
        </w:rPr>
        <w:t xml:space="preserve">is not mandatory and is not always accessed. </w:t>
      </w:r>
      <w:r>
        <w:rPr>
          <w:rFonts w:cs="Arial"/>
        </w:rPr>
        <w:t>T</w:t>
      </w:r>
      <w:r w:rsidRPr="00984D01">
        <w:rPr>
          <w:rFonts w:cs="Arial"/>
        </w:rPr>
        <w:t xml:space="preserve">raining has previously been provided by the Schools Finance team, but this has not been available recently. The school's bank account mandate </w:t>
      </w:r>
      <w:r>
        <w:rPr>
          <w:rFonts w:cs="Arial"/>
        </w:rPr>
        <w:t xml:space="preserve">ought to </w:t>
      </w:r>
      <w:r w:rsidRPr="00984D01">
        <w:rPr>
          <w:rFonts w:cs="Arial"/>
        </w:rPr>
        <w:t xml:space="preserve">make reference to the fact the Lancashire County Council is the ultimate owner of the funds, but the Accounting and Budgeting team does not check that this is the case prior to approving any bank account: none of the mandates at the four schools we examined incorporated this reference. Schools are required to undertake bank reconciliations on a monthly basis and submit them to the Accounting and Budgeting team. However these reconciliations are not verified against actual bank statements until the end of the year and any errors </w:t>
      </w:r>
      <w:r>
        <w:rPr>
          <w:rFonts w:cs="Arial"/>
        </w:rPr>
        <w:t>cannot</w:t>
      </w:r>
      <w:r w:rsidRPr="00984D01">
        <w:rPr>
          <w:rFonts w:cs="Arial"/>
        </w:rPr>
        <w:t xml:space="preserve"> be promptly identified. </w:t>
      </w:r>
    </w:p>
    <w:p w:rsidR="008C0C4D" w:rsidRDefault="008C0C4D" w:rsidP="00760960">
      <w:pPr>
        <w:pStyle w:val="ListParagraph"/>
        <w:numPr>
          <w:ilvl w:val="1"/>
          <w:numId w:val="2"/>
        </w:numPr>
        <w:spacing w:before="120" w:after="120"/>
        <w:contextualSpacing w:val="0"/>
        <w:rPr>
          <w:rFonts w:cs="Arial"/>
        </w:rPr>
      </w:pPr>
      <w:r w:rsidRPr="00984D01">
        <w:rPr>
          <w:rFonts w:cs="Arial"/>
        </w:rPr>
        <w:t xml:space="preserve">At all four schools that we visited there was inadequate segregation of duties. Whilst it is acknowledged that in certain schools </w:t>
      </w:r>
      <w:r>
        <w:rPr>
          <w:rFonts w:cs="Arial"/>
        </w:rPr>
        <w:t>there are too few staff to separate their duties</w:t>
      </w:r>
      <w:r w:rsidRPr="000810FA">
        <w:rPr>
          <w:rFonts w:cs="Arial"/>
        </w:rPr>
        <w:t xml:space="preserve"> </w:t>
      </w:r>
      <w:r>
        <w:rPr>
          <w:rFonts w:cs="Arial"/>
        </w:rPr>
        <w:t xml:space="preserve">adequately, </w:t>
      </w:r>
      <w:r w:rsidRPr="00984D01">
        <w:rPr>
          <w:rFonts w:cs="Arial"/>
        </w:rPr>
        <w:t>this should be identified as part of the application process</w:t>
      </w:r>
      <w:r>
        <w:rPr>
          <w:rFonts w:cs="Arial"/>
        </w:rPr>
        <w:t>,</w:t>
      </w:r>
      <w:r w:rsidRPr="00984D01">
        <w:rPr>
          <w:rFonts w:cs="Arial"/>
        </w:rPr>
        <w:t xml:space="preserve"> thereby allowing other appropriate arrangements to be made.</w:t>
      </w:r>
    </w:p>
    <w:p w:rsidR="008C3F7A" w:rsidRDefault="008C3F7A">
      <w:pPr>
        <w:spacing w:before="0" w:after="0"/>
        <w:rPr>
          <w:rFonts w:cs="Arial"/>
          <w:b/>
        </w:rPr>
      </w:pPr>
      <w:r>
        <w:rPr>
          <w:rFonts w:cs="Arial"/>
          <w:b/>
        </w:rPr>
        <w:br w:type="page"/>
      </w:r>
    </w:p>
    <w:p w:rsidR="008C0C4D" w:rsidRDefault="008C0C4D" w:rsidP="00760960">
      <w:pPr>
        <w:spacing w:before="120" w:after="120"/>
        <w:rPr>
          <w:rFonts w:cs="Arial"/>
          <w:b/>
        </w:rPr>
      </w:pPr>
      <w:r w:rsidRPr="00866574">
        <w:rPr>
          <w:rFonts w:cs="Arial"/>
          <w:b/>
        </w:rPr>
        <w:lastRenderedPageBreak/>
        <w:t>Service specific controls: Environment Directorate</w:t>
      </w:r>
    </w:p>
    <w:p w:rsidR="00FF72CD" w:rsidRDefault="00FF72CD" w:rsidP="00760960">
      <w:pPr>
        <w:spacing w:before="120" w:after="120"/>
        <w:rPr>
          <w:rFonts w:cs="Arial"/>
          <w:i/>
        </w:rPr>
      </w:pPr>
      <w:r>
        <w:rPr>
          <w:rFonts w:cs="Arial"/>
          <w:b/>
          <w:i/>
        </w:rPr>
        <w:t>Capital programme management</w:t>
      </w:r>
      <w:r w:rsidR="0070566E">
        <w:rPr>
          <w:rFonts w:cs="Arial"/>
          <w:b/>
          <w:i/>
        </w:rPr>
        <w:t xml:space="preserve"> – programme monitoring</w:t>
      </w:r>
      <w:r>
        <w:rPr>
          <w:rFonts w:cs="Arial"/>
          <w:b/>
          <w:i/>
        </w:rPr>
        <w:t xml:space="preserve">: </w:t>
      </w:r>
      <w:r w:rsidRPr="00FF72CD">
        <w:rPr>
          <w:rFonts w:cs="Arial"/>
          <w:i/>
        </w:rPr>
        <w:t>substantial assurance</w:t>
      </w:r>
    </w:p>
    <w:p w:rsidR="0070566E" w:rsidRPr="009B3CBE" w:rsidRDefault="0070566E" w:rsidP="00D06581">
      <w:pPr>
        <w:pStyle w:val="ListParagraph"/>
        <w:numPr>
          <w:ilvl w:val="1"/>
          <w:numId w:val="2"/>
        </w:numPr>
        <w:spacing w:before="120" w:after="120"/>
        <w:contextualSpacing w:val="0"/>
        <w:rPr>
          <w:rFonts w:cs="Arial"/>
        </w:rPr>
      </w:pPr>
      <w:r w:rsidRPr="009B3CBE">
        <w:rPr>
          <w:rFonts w:cs="Arial"/>
        </w:rPr>
        <w:t>The capital monitoring system (CMS) is used to facilitate monitoring of th</w:t>
      </w:r>
      <w:r w:rsidR="009B3CBE" w:rsidRPr="009B3CBE">
        <w:rPr>
          <w:rFonts w:cs="Arial"/>
        </w:rPr>
        <w:t xml:space="preserve">e council's capital programme. </w:t>
      </w:r>
      <w:r w:rsidRPr="009B3CBE">
        <w:rPr>
          <w:rFonts w:cs="Arial"/>
        </w:rPr>
        <w:t>Project and Programme Managers have access to CMS to enable them to monitor their respective programmes.</w:t>
      </w:r>
      <w:r w:rsidR="009B3CBE" w:rsidRPr="009B3CBE">
        <w:rPr>
          <w:rFonts w:cs="Arial"/>
        </w:rPr>
        <w:t xml:space="preserve"> </w:t>
      </w:r>
      <w:r w:rsidRPr="009B3CBE">
        <w:rPr>
          <w:rFonts w:cs="Arial"/>
        </w:rPr>
        <w:t xml:space="preserve">CMS interfaces with </w:t>
      </w:r>
      <w:r w:rsidR="009B3CBE">
        <w:rPr>
          <w:rFonts w:cs="Arial"/>
        </w:rPr>
        <w:t xml:space="preserve">the </w:t>
      </w:r>
      <w:r w:rsidRPr="009B3CBE">
        <w:rPr>
          <w:rFonts w:cs="Arial"/>
        </w:rPr>
        <w:t xml:space="preserve">Oracle </w:t>
      </w:r>
      <w:r w:rsidR="009B3CBE">
        <w:rPr>
          <w:rFonts w:cs="Arial"/>
        </w:rPr>
        <w:t xml:space="preserve">financial system </w:t>
      </w:r>
      <w:r w:rsidRPr="009B3CBE">
        <w:rPr>
          <w:rFonts w:cs="Arial"/>
        </w:rPr>
        <w:t>and the Management Information for County Engineering (MICE) system</w:t>
      </w:r>
      <w:r w:rsidR="009B3CBE">
        <w:rPr>
          <w:rFonts w:cs="Arial"/>
        </w:rPr>
        <w:t xml:space="preserve"> and d</w:t>
      </w:r>
      <w:r w:rsidRPr="009B3CBE">
        <w:rPr>
          <w:rFonts w:cs="Arial"/>
        </w:rPr>
        <w:t xml:space="preserve">ata from these systems </w:t>
      </w:r>
      <w:r w:rsidR="009B3CBE">
        <w:rPr>
          <w:rFonts w:cs="Arial"/>
        </w:rPr>
        <w:t xml:space="preserve">and others provides the </w:t>
      </w:r>
      <w:r w:rsidRPr="009B3CBE">
        <w:rPr>
          <w:rFonts w:cs="Arial"/>
        </w:rPr>
        <w:t>financial informatio</w:t>
      </w:r>
      <w:r w:rsidR="009B3CBE">
        <w:rPr>
          <w:rFonts w:cs="Arial"/>
        </w:rPr>
        <w:t>n relating to specific projects</w:t>
      </w:r>
      <w:r w:rsidRPr="009B3CBE">
        <w:rPr>
          <w:rFonts w:cs="Arial"/>
        </w:rPr>
        <w:t>.</w:t>
      </w:r>
    </w:p>
    <w:p w:rsidR="00517C4D" w:rsidRPr="008235EC" w:rsidRDefault="00517C4D" w:rsidP="00D06581">
      <w:pPr>
        <w:pStyle w:val="ListParagraph"/>
        <w:numPr>
          <w:ilvl w:val="1"/>
          <w:numId w:val="2"/>
        </w:numPr>
        <w:spacing w:before="120" w:after="120"/>
        <w:contextualSpacing w:val="0"/>
        <w:rPr>
          <w:rFonts w:cs="Arial"/>
        </w:rPr>
      </w:pPr>
      <w:r w:rsidRPr="008235EC">
        <w:rPr>
          <w:rFonts w:cs="Arial"/>
        </w:rPr>
        <w:t>S</w:t>
      </w:r>
      <w:r w:rsidR="00751207" w:rsidRPr="008235EC">
        <w:rPr>
          <w:rFonts w:cs="Arial"/>
        </w:rPr>
        <w:t xml:space="preserve">ignificant </w:t>
      </w:r>
      <w:r w:rsidRPr="008235EC">
        <w:rPr>
          <w:rFonts w:cs="Arial"/>
        </w:rPr>
        <w:t xml:space="preserve">effort </w:t>
      </w:r>
      <w:r w:rsidR="00751207" w:rsidRPr="008235EC">
        <w:rPr>
          <w:rFonts w:cs="Arial"/>
        </w:rPr>
        <w:t xml:space="preserve">has gone into improving monitoring controls over the council's capital programme. </w:t>
      </w:r>
      <w:r w:rsidRPr="008235EC">
        <w:rPr>
          <w:rFonts w:cs="Arial"/>
        </w:rPr>
        <w:t>Although this work will continue, a number of key actions have been completed. For example</w:t>
      </w:r>
      <w:r w:rsidR="008235EC">
        <w:rPr>
          <w:rFonts w:cs="Arial"/>
        </w:rPr>
        <w:t>,</w:t>
      </w:r>
      <w:r w:rsidRPr="008235EC">
        <w:rPr>
          <w:rFonts w:cs="Arial"/>
        </w:rPr>
        <w:t xml:space="preserve"> a comprehensive list of capital projects has been produced and officers will continue to carry out reconciliations and reviews to ensure programme records remain consistent and current. Officers have been using the mu</w:t>
      </w:r>
      <w:r w:rsidR="008235EC" w:rsidRPr="008235EC">
        <w:rPr>
          <w:rFonts w:cs="Arial"/>
        </w:rPr>
        <w:t>lti-year reporting facility on the C</w:t>
      </w:r>
      <w:r w:rsidR="009B3CBE">
        <w:rPr>
          <w:rFonts w:cs="Arial"/>
        </w:rPr>
        <w:t>MS</w:t>
      </w:r>
      <w:r w:rsidRPr="008235EC">
        <w:rPr>
          <w:rFonts w:cs="Arial"/>
        </w:rPr>
        <w:t xml:space="preserve"> since January 2015 and records are being updated to reflect schemes falling into 2015/16.</w:t>
      </w:r>
      <w:r w:rsidR="008235EC" w:rsidRPr="008235EC">
        <w:rPr>
          <w:rFonts w:cs="Arial"/>
        </w:rPr>
        <w:t xml:space="preserve"> The </w:t>
      </w:r>
      <w:r w:rsidR="009B3CBE">
        <w:rPr>
          <w:rFonts w:cs="Arial"/>
        </w:rPr>
        <w:t>CMS</w:t>
      </w:r>
      <w:r w:rsidRPr="008235EC">
        <w:rPr>
          <w:rFonts w:cs="Arial"/>
        </w:rPr>
        <w:t xml:space="preserve"> </w:t>
      </w:r>
      <w:r w:rsidR="008235EC" w:rsidRPr="008235EC">
        <w:rPr>
          <w:rFonts w:cs="Arial"/>
        </w:rPr>
        <w:t xml:space="preserve">has been fully reconciled </w:t>
      </w:r>
      <w:r w:rsidRPr="008235EC">
        <w:rPr>
          <w:rFonts w:cs="Arial"/>
        </w:rPr>
        <w:t xml:space="preserve">to </w:t>
      </w:r>
      <w:r w:rsidR="008235EC" w:rsidRPr="008235EC">
        <w:rPr>
          <w:rFonts w:cs="Arial"/>
        </w:rPr>
        <w:t xml:space="preserve">the </w:t>
      </w:r>
      <w:r w:rsidRPr="008235EC">
        <w:rPr>
          <w:rFonts w:cs="Arial"/>
        </w:rPr>
        <w:t>Oracle</w:t>
      </w:r>
      <w:r w:rsidR="008235EC" w:rsidRPr="008235EC">
        <w:rPr>
          <w:rFonts w:cs="Arial"/>
        </w:rPr>
        <w:t xml:space="preserve"> financial system</w:t>
      </w:r>
      <w:r w:rsidRPr="008235EC">
        <w:rPr>
          <w:rFonts w:cs="Arial"/>
        </w:rPr>
        <w:t>.</w:t>
      </w:r>
    </w:p>
    <w:p w:rsidR="00517C4D" w:rsidRPr="008235EC" w:rsidRDefault="008235EC" w:rsidP="00D06581">
      <w:pPr>
        <w:pStyle w:val="ListParagraph"/>
        <w:numPr>
          <w:ilvl w:val="1"/>
          <w:numId w:val="2"/>
        </w:numPr>
        <w:spacing w:before="120" w:after="120"/>
        <w:contextualSpacing w:val="0"/>
        <w:rPr>
          <w:rFonts w:cs="Arial"/>
        </w:rPr>
      </w:pPr>
      <w:r w:rsidRPr="008235EC">
        <w:rPr>
          <w:rFonts w:cs="Arial"/>
        </w:rPr>
        <w:t>A schedule has been produced setting out the officers responsible for each programme</w:t>
      </w:r>
      <w:r>
        <w:rPr>
          <w:rFonts w:cs="Arial"/>
        </w:rPr>
        <w:t>,</w:t>
      </w:r>
      <w:r w:rsidRPr="008235EC">
        <w:rPr>
          <w:rFonts w:cs="Arial"/>
        </w:rPr>
        <w:t xml:space="preserve"> and m</w:t>
      </w:r>
      <w:r w:rsidR="00517C4D" w:rsidRPr="008235EC">
        <w:rPr>
          <w:rFonts w:cs="Arial"/>
        </w:rPr>
        <w:t>onitoring meetings are held periodically depending on the size and scale of the programme.</w:t>
      </w:r>
      <w:r w:rsidRPr="008235EC">
        <w:rPr>
          <w:rFonts w:cs="Arial"/>
        </w:rPr>
        <w:t xml:space="preserve"> </w:t>
      </w:r>
      <w:r>
        <w:rPr>
          <w:rFonts w:cs="Arial"/>
        </w:rPr>
        <w:t>I</w:t>
      </w:r>
      <w:r w:rsidR="00517C4D" w:rsidRPr="008235EC">
        <w:rPr>
          <w:rFonts w:cs="Arial"/>
        </w:rPr>
        <w:t>nformation is used by officers in the Commissioning Team to monitor budgets and expenditure and to discuss these with the relevant programme managers.</w:t>
      </w:r>
    </w:p>
    <w:p w:rsidR="0070566E" w:rsidRDefault="0070566E" w:rsidP="0070566E">
      <w:pPr>
        <w:spacing w:before="120" w:after="120"/>
        <w:rPr>
          <w:rFonts w:cs="Arial"/>
          <w:i/>
        </w:rPr>
      </w:pPr>
      <w:r w:rsidRPr="0070566E">
        <w:rPr>
          <w:rFonts w:cs="Arial"/>
          <w:b/>
          <w:i/>
        </w:rPr>
        <w:t xml:space="preserve">Capital programme management – </w:t>
      </w:r>
      <w:r>
        <w:rPr>
          <w:rFonts w:cs="Arial"/>
          <w:b/>
          <w:i/>
        </w:rPr>
        <w:t>use of cost codes</w:t>
      </w:r>
      <w:r w:rsidRPr="0070566E">
        <w:rPr>
          <w:rFonts w:cs="Arial"/>
          <w:b/>
          <w:i/>
        </w:rPr>
        <w:t xml:space="preserve">: </w:t>
      </w:r>
      <w:r w:rsidRPr="0070566E">
        <w:rPr>
          <w:rFonts w:cs="Arial"/>
          <w:i/>
        </w:rPr>
        <w:t>substantial assurance</w:t>
      </w:r>
    </w:p>
    <w:p w:rsidR="009B3CBE" w:rsidRPr="009B3CBE" w:rsidRDefault="009B3CBE" w:rsidP="009B3CBE">
      <w:pPr>
        <w:pStyle w:val="ListParagraph"/>
        <w:numPr>
          <w:ilvl w:val="1"/>
          <w:numId w:val="2"/>
        </w:numPr>
        <w:spacing w:before="120" w:after="120"/>
        <w:contextualSpacing w:val="0"/>
        <w:rPr>
          <w:rFonts w:cs="Arial"/>
        </w:rPr>
      </w:pPr>
      <w:r>
        <w:rPr>
          <w:rFonts w:cs="Arial"/>
        </w:rPr>
        <w:t xml:space="preserve">In light of the importance to effective monitoring of the capital programme of the cost codes used in the programme's feeder systems, we have </w:t>
      </w:r>
      <w:r w:rsidR="00537987">
        <w:rPr>
          <w:rFonts w:cs="Arial"/>
        </w:rPr>
        <w:t xml:space="preserve">satisfactorily </w:t>
      </w:r>
      <w:r>
        <w:rPr>
          <w:rFonts w:cs="Arial"/>
        </w:rPr>
        <w:t xml:space="preserve">tested the </w:t>
      </w:r>
      <w:r w:rsidRPr="00C003D1">
        <w:rPr>
          <w:rFonts w:cs="Arial"/>
          <w:szCs w:val="22"/>
        </w:rPr>
        <w:t xml:space="preserve">controls </w:t>
      </w:r>
      <w:r>
        <w:rPr>
          <w:rFonts w:cs="Arial"/>
          <w:szCs w:val="22"/>
        </w:rPr>
        <w:t xml:space="preserve">ensuring that </w:t>
      </w:r>
      <w:r w:rsidRPr="00C003D1">
        <w:rPr>
          <w:rFonts w:cs="Arial"/>
          <w:szCs w:val="22"/>
        </w:rPr>
        <w:t xml:space="preserve">capital programme costs are </w:t>
      </w:r>
      <w:r>
        <w:rPr>
          <w:rFonts w:cs="Arial"/>
          <w:szCs w:val="22"/>
        </w:rPr>
        <w:t xml:space="preserve">fully, promptly and accurately </w:t>
      </w:r>
      <w:r w:rsidRPr="00C003D1">
        <w:rPr>
          <w:rFonts w:cs="Arial"/>
          <w:szCs w:val="22"/>
        </w:rPr>
        <w:t xml:space="preserve">charged to the correct </w:t>
      </w:r>
      <w:r>
        <w:rPr>
          <w:rFonts w:cs="Arial"/>
          <w:szCs w:val="22"/>
        </w:rPr>
        <w:t>'</w:t>
      </w:r>
      <w:r w:rsidRPr="00C003D1">
        <w:rPr>
          <w:rFonts w:cs="Arial"/>
          <w:szCs w:val="22"/>
        </w:rPr>
        <w:t>live</w:t>
      </w:r>
      <w:r>
        <w:rPr>
          <w:rFonts w:cs="Arial"/>
          <w:szCs w:val="22"/>
        </w:rPr>
        <w:t>'</w:t>
      </w:r>
      <w:r w:rsidRPr="00C003D1">
        <w:rPr>
          <w:rFonts w:cs="Arial"/>
          <w:szCs w:val="22"/>
        </w:rPr>
        <w:t xml:space="preserve"> codes on the CMS, Oracle</w:t>
      </w:r>
      <w:r>
        <w:rPr>
          <w:rFonts w:cs="Arial"/>
          <w:szCs w:val="22"/>
        </w:rPr>
        <w:t xml:space="preserve"> financial system</w:t>
      </w:r>
      <w:r w:rsidRPr="00C003D1">
        <w:rPr>
          <w:rFonts w:cs="Arial"/>
          <w:szCs w:val="22"/>
        </w:rPr>
        <w:t xml:space="preserve"> and </w:t>
      </w:r>
      <w:r>
        <w:rPr>
          <w:rFonts w:cs="Arial"/>
          <w:szCs w:val="22"/>
        </w:rPr>
        <w:t xml:space="preserve">the </w:t>
      </w:r>
      <w:r w:rsidRPr="00C003D1">
        <w:rPr>
          <w:rFonts w:cs="Arial"/>
          <w:szCs w:val="22"/>
        </w:rPr>
        <w:t>related capital cost</w:t>
      </w:r>
      <w:r>
        <w:rPr>
          <w:rFonts w:cs="Arial"/>
          <w:szCs w:val="22"/>
        </w:rPr>
        <w:t xml:space="preserve"> capture</w:t>
      </w:r>
      <w:r w:rsidRPr="00C003D1">
        <w:rPr>
          <w:rFonts w:cs="Arial"/>
          <w:szCs w:val="22"/>
        </w:rPr>
        <w:t xml:space="preserve"> feeder systems</w:t>
      </w:r>
      <w:r>
        <w:rPr>
          <w:rFonts w:cs="Arial"/>
          <w:szCs w:val="22"/>
        </w:rPr>
        <w:t xml:space="preserve">. </w:t>
      </w:r>
    </w:p>
    <w:p w:rsidR="008C0C4D" w:rsidRPr="00866574" w:rsidRDefault="008C0C4D" w:rsidP="00760960">
      <w:pPr>
        <w:spacing w:before="120" w:after="120"/>
        <w:rPr>
          <w:rFonts w:cs="Arial"/>
        </w:rPr>
      </w:pPr>
      <w:r w:rsidRPr="00866574">
        <w:rPr>
          <w:rFonts w:cs="Arial"/>
          <w:b/>
          <w:i/>
        </w:rPr>
        <w:t>Highways and property asset management project</w:t>
      </w:r>
    </w:p>
    <w:p w:rsidR="008C0C4D" w:rsidRPr="00866574" w:rsidRDefault="008C0C4D" w:rsidP="00760960">
      <w:pPr>
        <w:pStyle w:val="ListParagraph"/>
        <w:numPr>
          <w:ilvl w:val="1"/>
          <w:numId w:val="2"/>
        </w:numPr>
        <w:spacing w:before="120" w:after="120"/>
        <w:contextualSpacing w:val="0"/>
        <w:rPr>
          <w:rFonts w:cs="Arial"/>
        </w:rPr>
      </w:pPr>
      <w:r w:rsidRPr="00866574">
        <w:rPr>
          <w:rFonts w:cs="Arial"/>
        </w:rPr>
        <w:t>The Internal Audit Service has been represented on the project board</w:t>
      </w:r>
      <w:r w:rsidR="009A7581">
        <w:rPr>
          <w:rFonts w:cs="Arial"/>
        </w:rPr>
        <w:t xml:space="preserve"> and the project is continuing into 2015/16</w:t>
      </w:r>
      <w:r w:rsidRPr="00866574">
        <w:rPr>
          <w:rFonts w:cs="Arial"/>
        </w:rPr>
        <w:t>.</w:t>
      </w:r>
    </w:p>
    <w:p w:rsidR="008C0C4D" w:rsidRPr="00760960" w:rsidRDefault="00B10AFE" w:rsidP="00760960">
      <w:pPr>
        <w:spacing w:before="120" w:after="120"/>
        <w:ind w:left="360" w:hanging="360"/>
        <w:rPr>
          <w:rFonts w:cs="Arial"/>
          <w:b/>
          <w:i/>
        </w:rPr>
      </w:pPr>
      <w:r>
        <w:rPr>
          <w:rFonts w:cs="Arial"/>
          <w:b/>
          <w:i/>
        </w:rPr>
        <w:t xml:space="preserve">Procurement </w:t>
      </w:r>
      <w:r w:rsidR="008C0C4D" w:rsidRPr="00760960">
        <w:rPr>
          <w:rFonts w:cs="Arial"/>
          <w:b/>
          <w:i/>
        </w:rPr>
        <w:t xml:space="preserve">of highways contractors: </w:t>
      </w:r>
      <w:r w:rsidR="008C0C4D" w:rsidRPr="00760960">
        <w:rPr>
          <w:rFonts w:cs="Arial"/>
          <w:i/>
        </w:rPr>
        <w:t>limited assurance</w:t>
      </w:r>
    </w:p>
    <w:p w:rsidR="00760960" w:rsidRDefault="00760960" w:rsidP="00760960">
      <w:pPr>
        <w:pStyle w:val="ListParagraph"/>
        <w:numPr>
          <w:ilvl w:val="1"/>
          <w:numId w:val="2"/>
        </w:numPr>
        <w:spacing w:before="120" w:after="120"/>
        <w:contextualSpacing w:val="0"/>
        <w:rPr>
          <w:rFonts w:cs="Arial"/>
        </w:rPr>
      </w:pPr>
      <w:r>
        <w:rPr>
          <w:rFonts w:cs="Arial"/>
        </w:rPr>
        <w:t>Lancashire Highways Service</w:t>
      </w:r>
      <w:r w:rsidRPr="00D97734">
        <w:rPr>
          <w:rFonts w:cs="Arial"/>
        </w:rPr>
        <w:t xml:space="preserve"> </w:t>
      </w:r>
      <w:r>
        <w:rPr>
          <w:rFonts w:cs="Arial"/>
        </w:rPr>
        <w:t>is</w:t>
      </w:r>
      <w:r w:rsidRPr="00D97734">
        <w:rPr>
          <w:rFonts w:cs="Arial"/>
        </w:rPr>
        <w:t xml:space="preserve"> responsible for designing, building and maintaining roads, buildings and other public and environmental assets on behalf of the county council. The services are generally provided by in-house teams located across the county although contractors are used for some specialist services and to provide extra capacity during periods of high demand. Procurement </w:t>
      </w:r>
      <w:r>
        <w:rPr>
          <w:rFonts w:cs="Arial"/>
        </w:rPr>
        <w:t>n</w:t>
      </w:r>
      <w:r w:rsidRPr="00D97734">
        <w:rPr>
          <w:rFonts w:cs="Arial"/>
        </w:rPr>
        <w:t>otices are issued to update managers on contract arrangements which have been established by the Procurement Service</w:t>
      </w:r>
      <w:r>
        <w:rPr>
          <w:rFonts w:cs="Arial"/>
        </w:rPr>
        <w:t xml:space="preserve"> and </w:t>
      </w:r>
      <w:r w:rsidRPr="00D97734">
        <w:rPr>
          <w:rFonts w:cs="Arial"/>
        </w:rPr>
        <w:t>staff must follow the council's Procurement Rules.</w:t>
      </w:r>
    </w:p>
    <w:p w:rsidR="00760960" w:rsidRDefault="00760960" w:rsidP="00760960">
      <w:pPr>
        <w:pStyle w:val="ListParagraph"/>
        <w:numPr>
          <w:ilvl w:val="1"/>
          <w:numId w:val="2"/>
        </w:numPr>
        <w:spacing w:before="120" w:after="120"/>
        <w:contextualSpacing w:val="0"/>
        <w:rPr>
          <w:rFonts w:cs="Arial"/>
        </w:rPr>
      </w:pPr>
      <w:r w:rsidRPr="00F14913">
        <w:rPr>
          <w:rFonts w:cs="Arial"/>
        </w:rPr>
        <w:t>Non-contract spend is analysed</w:t>
      </w:r>
      <w:r>
        <w:rPr>
          <w:rFonts w:cs="Arial"/>
        </w:rPr>
        <w:t xml:space="preserve"> </w:t>
      </w:r>
      <w:r w:rsidRPr="00F14913">
        <w:rPr>
          <w:rFonts w:cs="Arial"/>
        </w:rPr>
        <w:t>and areas where corporate contracts could</w:t>
      </w:r>
      <w:r>
        <w:rPr>
          <w:rFonts w:cs="Arial"/>
        </w:rPr>
        <w:t xml:space="preserve"> be put in place are identified</w:t>
      </w:r>
      <w:r w:rsidRPr="00F14913">
        <w:rPr>
          <w:rFonts w:cs="Arial"/>
        </w:rPr>
        <w:t xml:space="preserve"> </w:t>
      </w:r>
      <w:r>
        <w:rPr>
          <w:rFonts w:cs="Arial"/>
        </w:rPr>
        <w:t>annually, but no further work was undertaken to develop this and place additional corporate contracts accordingly during 2014.</w:t>
      </w:r>
    </w:p>
    <w:p w:rsidR="00760960" w:rsidRDefault="00760960" w:rsidP="00760960">
      <w:pPr>
        <w:pStyle w:val="ListParagraph"/>
        <w:numPr>
          <w:ilvl w:val="1"/>
          <w:numId w:val="2"/>
        </w:numPr>
        <w:spacing w:before="120" w:after="120"/>
        <w:contextualSpacing w:val="0"/>
        <w:rPr>
          <w:rFonts w:cs="Arial"/>
        </w:rPr>
      </w:pPr>
      <w:r w:rsidRPr="00F14913">
        <w:rPr>
          <w:rFonts w:cs="Arial"/>
        </w:rPr>
        <w:t xml:space="preserve">We found a general lack of evidence that procurement exercises have taken place as required where corporate contracts are not </w:t>
      </w:r>
      <w:r>
        <w:rPr>
          <w:rFonts w:cs="Arial"/>
        </w:rPr>
        <w:t xml:space="preserve">already </w:t>
      </w:r>
      <w:r w:rsidRPr="00F14913">
        <w:rPr>
          <w:rFonts w:cs="Arial"/>
        </w:rPr>
        <w:t xml:space="preserve">in place: evidence could not be located due to restructuring, office moves, and the lack of a formal </w:t>
      </w:r>
      <w:r w:rsidRPr="00F14913">
        <w:rPr>
          <w:rFonts w:cs="Arial"/>
        </w:rPr>
        <w:lastRenderedPageBreak/>
        <w:t xml:space="preserve">filing system. Where corporate contracts are in place we found that the first preferred supplier is frequently not used, with no explanation or evidence that the preferred suppliers had been contacted and been unable to undertake the work. Further, some corporate contracts, such as traffic management, require mini tenders to be undertaken with selected suppliers if the order is above a specific threshold. For each of the three </w:t>
      </w:r>
      <w:r>
        <w:rPr>
          <w:rFonts w:cs="Arial"/>
        </w:rPr>
        <w:t>cases we</w:t>
      </w:r>
      <w:r w:rsidRPr="00F14913">
        <w:rPr>
          <w:rFonts w:cs="Arial"/>
        </w:rPr>
        <w:t xml:space="preserve"> sample</w:t>
      </w:r>
      <w:r>
        <w:rPr>
          <w:rFonts w:cs="Arial"/>
        </w:rPr>
        <w:t>d</w:t>
      </w:r>
      <w:r w:rsidRPr="00F14913">
        <w:rPr>
          <w:rFonts w:cs="Arial"/>
        </w:rPr>
        <w:t xml:space="preserve"> the required mini tender was not undertaken.</w:t>
      </w:r>
    </w:p>
    <w:p w:rsidR="00751207" w:rsidRPr="00A4363C" w:rsidRDefault="00751207" w:rsidP="00760960">
      <w:pPr>
        <w:pStyle w:val="ListParagraph"/>
        <w:numPr>
          <w:ilvl w:val="1"/>
          <w:numId w:val="2"/>
        </w:numPr>
        <w:spacing w:before="120" w:after="120"/>
        <w:contextualSpacing w:val="0"/>
        <w:rPr>
          <w:rFonts w:cs="Arial"/>
        </w:rPr>
      </w:pPr>
      <w:r w:rsidRPr="00A4363C">
        <w:rPr>
          <w:rFonts w:cs="Arial"/>
        </w:rPr>
        <w:t>Since our work was completed, the Head of Service for Highways and the Head of Procurement have provided assurance that the issues raised by our initial audit work and investigation have been, or are being, addressed.</w:t>
      </w:r>
    </w:p>
    <w:p w:rsidR="008C0C4D" w:rsidRPr="00760960" w:rsidRDefault="008C0C4D" w:rsidP="00760960">
      <w:pPr>
        <w:spacing w:before="240" w:after="120"/>
        <w:ind w:left="360" w:hanging="360"/>
        <w:rPr>
          <w:rFonts w:cs="Arial"/>
          <w:b/>
        </w:rPr>
      </w:pPr>
      <w:r w:rsidRPr="00760960">
        <w:rPr>
          <w:rFonts w:cs="Arial"/>
          <w:b/>
        </w:rPr>
        <w:t>Service specific controls: Lancashire County Commercial Group</w:t>
      </w:r>
    </w:p>
    <w:p w:rsidR="008C0C4D" w:rsidRPr="00760960" w:rsidRDefault="008C0C4D" w:rsidP="00760960">
      <w:pPr>
        <w:spacing w:before="120" w:after="120"/>
        <w:ind w:left="360" w:hanging="360"/>
        <w:rPr>
          <w:rFonts w:cs="Arial"/>
          <w:b/>
          <w:i/>
        </w:rPr>
      </w:pPr>
      <w:r w:rsidRPr="00760960">
        <w:rPr>
          <w:rFonts w:cs="Arial"/>
          <w:b/>
          <w:i/>
        </w:rPr>
        <w:t xml:space="preserve">Fleet Services: </w:t>
      </w:r>
      <w:r w:rsidRPr="00760960">
        <w:rPr>
          <w:rFonts w:cs="Arial"/>
          <w:i/>
        </w:rPr>
        <w:t>substantial assurance</w:t>
      </w:r>
    </w:p>
    <w:p w:rsidR="00760960" w:rsidRPr="00C36904" w:rsidRDefault="00760960" w:rsidP="00760960">
      <w:pPr>
        <w:pStyle w:val="ListParagraph"/>
        <w:numPr>
          <w:ilvl w:val="1"/>
          <w:numId w:val="2"/>
        </w:numPr>
        <w:spacing w:before="120" w:after="120"/>
        <w:contextualSpacing w:val="0"/>
        <w:rPr>
          <w:rFonts w:cs="Arial"/>
        </w:rPr>
      </w:pPr>
      <w:r w:rsidRPr="00C36904">
        <w:rPr>
          <w:rFonts w:cs="Arial"/>
        </w:rPr>
        <w:t xml:space="preserve">Fleet Services manages and maintains over 950 vehicles and 1,000 plant items for the county council as well as maintaining additional vehicles on behalf of external partners such as Burnley Borough Council. The service </w:t>
      </w:r>
      <w:r>
        <w:rPr>
          <w:rFonts w:cs="Arial"/>
        </w:rPr>
        <w:t xml:space="preserve">also </w:t>
      </w:r>
      <w:r w:rsidRPr="00C36904">
        <w:rPr>
          <w:rFonts w:cs="Arial"/>
        </w:rPr>
        <w:t>issue</w:t>
      </w:r>
      <w:r>
        <w:rPr>
          <w:rFonts w:cs="Arial"/>
        </w:rPr>
        <w:t>s</w:t>
      </w:r>
      <w:r w:rsidRPr="00C36904">
        <w:rPr>
          <w:rFonts w:cs="Arial"/>
        </w:rPr>
        <w:t>, maintain</w:t>
      </w:r>
      <w:r>
        <w:rPr>
          <w:rFonts w:cs="Arial"/>
        </w:rPr>
        <w:t>s</w:t>
      </w:r>
      <w:r w:rsidRPr="00C36904">
        <w:rPr>
          <w:rFonts w:cs="Arial"/>
        </w:rPr>
        <w:t xml:space="preserve"> and monitor</w:t>
      </w:r>
      <w:r>
        <w:rPr>
          <w:rFonts w:cs="Arial"/>
        </w:rPr>
        <w:t>s</w:t>
      </w:r>
      <w:r w:rsidRPr="00C36904">
        <w:rPr>
          <w:rFonts w:cs="Arial"/>
        </w:rPr>
        <w:t xml:space="preserve"> the usage of all fuel cards allocated to fleet vehicles, departments </w:t>
      </w:r>
      <w:r>
        <w:rPr>
          <w:rFonts w:cs="Arial"/>
        </w:rPr>
        <w:t>and</w:t>
      </w:r>
      <w:r w:rsidRPr="00C36904">
        <w:rPr>
          <w:rFonts w:cs="Arial"/>
        </w:rPr>
        <w:t xml:space="preserve"> named individuals for obtainin</w:t>
      </w:r>
      <w:r>
        <w:rPr>
          <w:rFonts w:cs="Arial"/>
        </w:rPr>
        <w:t>g fuel from garage forecourts.</w:t>
      </w:r>
    </w:p>
    <w:p w:rsidR="00760960" w:rsidRPr="00B73375" w:rsidRDefault="00760960" w:rsidP="00760960">
      <w:pPr>
        <w:pStyle w:val="ListParagraph"/>
        <w:numPr>
          <w:ilvl w:val="1"/>
          <w:numId w:val="2"/>
        </w:numPr>
        <w:spacing w:before="120" w:after="120"/>
        <w:contextualSpacing w:val="0"/>
        <w:rPr>
          <w:rFonts w:cs="Arial"/>
        </w:rPr>
      </w:pPr>
      <w:r w:rsidRPr="00B73375">
        <w:rPr>
          <w:rFonts w:cs="Arial"/>
        </w:rPr>
        <w:t xml:space="preserve">The RAMP (Repair And Maintenance Programme) system records all vehicle and plant items, their location, service dates, repairs, end </w:t>
      </w:r>
      <w:r>
        <w:rPr>
          <w:rFonts w:cs="Arial"/>
        </w:rPr>
        <w:t xml:space="preserve">of </w:t>
      </w:r>
      <w:r w:rsidRPr="00B73375">
        <w:rPr>
          <w:rFonts w:cs="Arial"/>
        </w:rPr>
        <w:t xml:space="preserve">life and disposal/ sale. It is also designed to record orders and invoices for vehicle and plant item purchases and related expenditure. Invoice data is transferred from RAMP into the Oracle accounts payable system for payment.  </w:t>
      </w:r>
    </w:p>
    <w:p w:rsidR="00760960" w:rsidRPr="00D97734" w:rsidRDefault="00760960" w:rsidP="00760960">
      <w:pPr>
        <w:pStyle w:val="ListParagraph"/>
        <w:numPr>
          <w:ilvl w:val="1"/>
          <w:numId w:val="2"/>
        </w:numPr>
        <w:spacing w:before="120" w:after="120"/>
        <w:contextualSpacing w:val="0"/>
        <w:rPr>
          <w:rFonts w:cs="Arial"/>
        </w:rPr>
      </w:pPr>
      <w:r>
        <w:rPr>
          <w:rFonts w:cs="Arial"/>
        </w:rPr>
        <w:t>G</w:t>
      </w:r>
      <w:r w:rsidRPr="008B3E6E">
        <w:rPr>
          <w:rFonts w:cs="Arial"/>
        </w:rPr>
        <w:t>ood practices have been established, especially for servicing fleet vehicles and in relation to the accuracy of vehicle and plant item details entered in to RAMP (Repair And Maintenance Programme)</w:t>
      </w:r>
      <w:r>
        <w:rPr>
          <w:rFonts w:cs="Arial"/>
        </w:rPr>
        <w:t xml:space="preserve">. However </w:t>
      </w:r>
      <w:r w:rsidRPr="008B3E6E">
        <w:rPr>
          <w:rFonts w:cs="Arial"/>
        </w:rPr>
        <w:t xml:space="preserve">there are some areas </w:t>
      </w:r>
      <w:r>
        <w:rPr>
          <w:rFonts w:cs="Arial"/>
        </w:rPr>
        <w:t xml:space="preserve">where controls should be </w:t>
      </w:r>
      <w:r w:rsidRPr="008B3E6E">
        <w:rPr>
          <w:rFonts w:cs="Arial"/>
        </w:rPr>
        <w:t>improve</w:t>
      </w:r>
      <w:r>
        <w:rPr>
          <w:rFonts w:cs="Arial"/>
        </w:rPr>
        <w:t>d, i</w:t>
      </w:r>
      <w:r w:rsidRPr="008B3E6E">
        <w:rPr>
          <w:rFonts w:cs="Arial"/>
        </w:rPr>
        <w:t xml:space="preserve">n particular, </w:t>
      </w:r>
      <w:r>
        <w:rPr>
          <w:rFonts w:cs="Arial"/>
        </w:rPr>
        <w:t>around</w:t>
      </w:r>
      <w:r w:rsidRPr="008B3E6E">
        <w:rPr>
          <w:rFonts w:cs="Arial"/>
        </w:rPr>
        <w:t xml:space="preserve"> the use of the RAMP system to process payments.</w:t>
      </w:r>
    </w:p>
    <w:p w:rsidR="00310E19" w:rsidRPr="00760960" w:rsidRDefault="00310E19" w:rsidP="00760960">
      <w:pPr>
        <w:spacing w:before="120" w:after="120"/>
        <w:rPr>
          <w:rFonts w:cs="Arial"/>
        </w:rPr>
      </w:pPr>
    </w:p>
    <w:p w:rsidR="00310E19" w:rsidRDefault="00310E19" w:rsidP="008F2360">
      <w:pPr>
        <w:pStyle w:val="BodyText"/>
        <w:numPr>
          <w:ilvl w:val="0"/>
          <w:numId w:val="2"/>
        </w:numPr>
        <w:spacing w:before="240" w:after="120"/>
        <w:rPr>
          <w:b/>
          <w:sz w:val="28"/>
          <w:szCs w:val="28"/>
        </w:rPr>
        <w:sectPr w:rsidR="00310E19" w:rsidSect="004F10AA">
          <w:headerReference w:type="default" r:id="rId22"/>
          <w:footerReference w:type="default" r:id="rId23"/>
          <w:pgSz w:w="11907" w:h="16840" w:code="9"/>
          <w:pgMar w:top="1843" w:right="1134" w:bottom="1077" w:left="1418" w:header="709" w:footer="289" w:gutter="0"/>
          <w:pgNumType w:start="1"/>
          <w:cols w:space="708"/>
          <w:docGrid w:linePitch="360"/>
        </w:sectPr>
      </w:pPr>
    </w:p>
    <w:p w:rsidR="00B2275C" w:rsidRDefault="00B2275C" w:rsidP="00B2275C">
      <w:pPr>
        <w:pStyle w:val="BodyText"/>
        <w:numPr>
          <w:ilvl w:val="0"/>
          <w:numId w:val="2"/>
        </w:numPr>
        <w:spacing w:before="240" w:after="120"/>
        <w:rPr>
          <w:b/>
          <w:sz w:val="28"/>
          <w:szCs w:val="28"/>
        </w:rPr>
      </w:pPr>
      <w:r w:rsidRPr="00184D55">
        <w:rPr>
          <w:b/>
          <w:sz w:val="28"/>
          <w:szCs w:val="28"/>
        </w:rPr>
        <w:lastRenderedPageBreak/>
        <w:t>Audit assurance levels</w:t>
      </w:r>
      <w:r>
        <w:rPr>
          <w:b/>
          <w:sz w:val="28"/>
          <w:szCs w:val="28"/>
        </w:rPr>
        <w:t xml:space="preserve"> and classification of agreed actions</w:t>
      </w:r>
    </w:p>
    <w:p w:rsidR="00B2275C" w:rsidRDefault="00B2275C" w:rsidP="00B2275C">
      <w:pPr>
        <w:tabs>
          <w:tab w:val="left" w:pos="284"/>
        </w:tabs>
        <w:rPr>
          <w:b/>
          <w:sz w:val="28"/>
          <w:szCs w:val="28"/>
        </w:rPr>
      </w:pPr>
    </w:p>
    <w:p w:rsidR="00B2275C" w:rsidRPr="00184D55" w:rsidRDefault="00B2275C" w:rsidP="00B2275C">
      <w:pPr>
        <w:tabs>
          <w:tab w:val="left" w:pos="284"/>
        </w:tabs>
        <w:rPr>
          <w:b/>
          <w:sz w:val="28"/>
          <w:szCs w:val="28"/>
        </w:rPr>
      </w:pPr>
      <w:r>
        <w:rPr>
          <w:b/>
          <w:sz w:val="28"/>
          <w:szCs w:val="28"/>
        </w:rPr>
        <w:t>Audit assurance</w:t>
      </w:r>
    </w:p>
    <w:p w:rsidR="00B2275C" w:rsidRDefault="00B2275C" w:rsidP="00B2275C">
      <w:pPr>
        <w:tabs>
          <w:tab w:val="left" w:pos="284"/>
        </w:tabs>
        <w:spacing w:before="120" w:after="120"/>
      </w:pPr>
      <w:r w:rsidRPr="00184D55">
        <w:rPr>
          <w:b/>
        </w:rPr>
        <w:t>Full assurance</w:t>
      </w:r>
      <w:r>
        <w:t>:</w:t>
      </w:r>
      <w:r w:rsidRPr="00282F4A">
        <w:t xml:space="preserve"> there is a sound system of internal control which is designed to meet </w:t>
      </w:r>
      <w:r>
        <w:t>the service</w:t>
      </w:r>
      <w:r w:rsidRPr="00282F4A">
        <w:t xml:space="preserve"> objectives and controls are being consistently applied</w:t>
      </w:r>
      <w:r>
        <w:t>.</w:t>
      </w:r>
    </w:p>
    <w:p w:rsidR="00B2275C" w:rsidRDefault="00B2275C" w:rsidP="00B2275C">
      <w:pPr>
        <w:tabs>
          <w:tab w:val="left" w:pos="284"/>
        </w:tabs>
        <w:spacing w:before="120" w:after="120"/>
      </w:pPr>
      <w:r>
        <w:rPr>
          <w:b/>
        </w:rPr>
        <w:t>Substantial</w:t>
      </w:r>
      <w:r w:rsidRPr="00184D55">
        <w:rPr>
          <w:b/>
        </w:rPr>
        <w:t xml:space="preserve"> assurance</w:t>
      </w:r>
      <w:r>
        <w:t>:</w:t>
      </w:r>
      <w:r w:rsidRPr="00282F4A">
        <w:t xml:space="preserve"> there is a generally sound system of internal control, designed to meet the </w:t>
      </w:r>
      <w:r>
        <w:t>service</w:t>
      </w:r>
      <w:r w:rsidRPr="00282F4A">
        <w:t xml:space="preserve"> objectives, and controls are generally bein</w:t>
      </w:r>
      <w:r>
        <w:t>g applied consistently. However</w:t>
      </w:r>
      <w:r w:rsidRPr="00282F4A">
        <w:t xml:space="preserve"> some weakness in the design and/</w:t>
      </w:r>
      <w:r>
        <w:t xml:space="preserve"> </w:t>
      </w:r>
      <w:r w:rsidRPr="00282F4A">
        <w:t>or inconsistent application of controls put the achievement o</w:t>
      </w:r>
      <w:r>
        <w:t>f particular objectives at risk.</w:t>
      </w:r>
      <w:r w:rsidRPr="00282F4A">
        <w:t xml:space="preserve"> </w:t>
      </w:r>
    </w:p>
    <w:p w:rsidR="00B2275C" w:rsidRDefault="00B2275C" w:rsidP="00B2275C">
      <w:pPr>
        <w:tabs>
          <w:tab w:val="left" w:pos="284"/>
        </w:tabs>
        <w:spacing w:before="120" w:after="120"/>
      </w:pPr>
      <w:r w:rsidRPr="00184D55">
        <w:rPr>
          <w:b/>
        </w:rPr>
        <w:t>Limited assurance</w:t>
      </w:r>
      <w:r>
        <w:t>: weaknesses in the design</w:t>
      </w:r>
      <w:r w:rsidRPr="00282F4A">
        <w:t xml:space="preserve"> and/</w:t>
      </w:r>
      <w:r>
        <w:t xml:space="preserve"> </w:t>
      </w:r>
      <w:r w:rsidRPr="00282F4A">
        <w:t>or incon</w:t>
      </w:r>
      <w:r>
        <w:t>sistent application of controls</w:t>
      </w:r>
      <w:r w:rsidRPr="00282F4A">
        <w:t xml:space="preserve"> put the achievement of the </w:t>
      </w:r>
      <w:r>
        <w:t>service</w:t>
      </w:r>
      <w:r w:rsidRPr="00282F4A">
        <w:t xml:space="preserve"> objectives at risk</w:t>
      </w:r>
      <w:r>
        <w:t>.</w:t>
      </w:r>
    </w:p>
    <w:p w:rsidR="00B2275C" w:rsidRDefault="00B2275C" w:rsidP="00B2275C">
      <w:pPr>
        <w:pStyle w:val="BodyText"/>
        <w:tabs>
          <w:tab w:val="left" w:pos="284"/>
        </w:tabs>
        <w:spacing w:before="120" w:after="120"/>
      </w:pPr>
      <w:r w:rsidRPr="00184D55">
        <w:rPr>
          <w:b/>
        </w:rPr>
        <w:t>No assurance</w:t>
      </w:r>
      <w:r>
        <w:t>:</w:t>
      </w:r>
      <w:r w:rsidRPr="00282F4A">
        <w:t xml:space="preserve"> weaknesses in control</w:t>
      </w:r>
      <w:r>
        <w:t xml:space="preserve"> </w:t>
      </w:r>
      <w:r w:rsidRPr="00282F4A">
        <w:t>and/</w:t>
      </w:r>
      <w:r>
        <w:t xml:space="preserve"> </w:t>
      </w:r>
      <w:r w:rsidRPr="00282F4A">
        <w:t xml:space="preserve">or consistent non-compliance with controls could result/ </w:t>
      </w:r>
      <w:r>
        <w:t>has</w:t>
      </w:r>
      <w:r w:rsidRPr="00282F4A">
        <w:t xml:space="preserve"> resulted in failure to achieve the </w:t>
      </w:r>
      <w:r>
        <w:t>service</w:t>
      </w:r>
      <w:r w:rsidRPr="00282F4A">
        <w:t xml:space="preserve"> objectives.</w:t>
      </w:r>
    </w:p>
    <w:p w:rsidR="00B2275C" w:rsidRDefault="00B2275C" w:rsidP="00B2275C">
      <w:pPr>
        <w:pStyle w:val="BodyText"/>
        <w:tabs>
          <w:tab w:val="left" w:pos="284"/>
        </w:tabs>
        <w:spacing w:before="120" w:after="120"/>
      </w:pPr>
    </w:p>
    <w:p w:rsidR="00B2275C" w:rsidRDefault="00B2275C" w:rsidP="00B2275C">
      <w:pPr>
        <w:pStyle w:val="BodyText"/>
        <w:tabs>
          <w:tab w:val="left" w:pos="284"/>
        </w:tabs>
        <w:spacing w:before="120" w:after="120"/>
        <w:rPr>
          <w:b/>
          <w:sz w:val="28"/>
          <w:szCs w:val="28"/>
        </w:rPr>
      </w:pPr>
      <w:r>
        <w:rPr>
          <w:b/>
          <w:sz w:val="28"/>
          <w:szCs w:val="28"/>
        </w:rPr>
        <w:t>Actions proposed by the Internal Audit Service</w:t>
      </w:r>
    </w:p>
    <w:p w:rsidR="00B2275C" w:rsidRPr="00C146BB" w:rsidRDefault="00B2275C" w:rsidP="00B2275C">
      <w:pPr>
        <w:tabs>
          <w:tab w:val="left" w:pos="284"/>
        </w:tabs>
        <w:rPr>
          <w:rFonts w:cs="Arial"/>
          <w:bCs/>
        </w:rPr>
      </w:pPr>
      <w:r w:rsidRPr="00C146BB">
        <w:rPr>
          <w:rFonts w:cs="Arial"/>
          <w:bCs/>
        </w:rPr>
        <w:t xml:space="preserve">All </w:t>
      </w:r>
      <w:r>
        <w:rPr>
          <w:rFonts w:cs="Arial"/>
          <w:bCs/>
        </w:rPr>
        <w:t>actions proposed</w:t>
      </w:r>
      <w:r w:rsidRPr="00C146BB">
        <w:rPr>
          <w:rFonts w:cs="Arial"/>
          <w:bCs/>
        </w:rPr>
        <w:t xml:space="preserve"> </w:t>
      </w:r>
      <w:r>
        <w:rPr>
          <w:rFonts w:cs="Arial"/>
          <w:bCs/>
        </w:rPr>
        <w:t xml:space="preserve">by the Internal Audit Service and agreed by management </w:t>
      </w:r>
      <w:r w:rsidRPr="00C146BB">
        <w:rPr>
          <w:rFonts w:cs="Arial"/>
          <w:bCs/>
        </w:rPr>
        <w:t xml:space="preserve">are </w:t>
      </w:r>
      <w:r>
        <w:rPr>
          <w:rFonts w:cs="Arial"/>
          <w:bCs/>
        </w:rPr>
        <w:t>stated</w:t>
      </w:r>
      <w:r w:rsidRPr="00C146BB">
        <w:rPr>
          <w:rFonts w:cs="Arial"/>
          <w:bCs/>
        </w:rPr>
        <w:t xml:space="preserve"> in terms of the residual risk they are designed to mitigate.</w:t>
      </w:r>
    </w:p>
    <w:p w:rsidR="00B2275C" w:rsidRPr="00FD4590" w:rsidRDefault="00B2275C" w:rsidP="00B2275C">
      <w:pPr>
        <w:tabs>
          <w:tab w:val="left" w:pos="284"/>
        </w:tabs>
        <w:spacing w:before="120" w:after="120"/>
        <w:rPr>
          <w:rFonts w:cs="Arial"/>
          <w:b/>
          <w:bCs/>
          <w:i/>
        </w:rPr>
      </w:pPr>
      <w:r w:rsidRPr="00FD4590">
        <w:rPr>
          <w:rFonts w:cs="Arial"/>
          <w:b/>
          <w:bCs/>
        </w:rPr>
        <w:t>Extre</w:t>
      </w:r>
      <w:r>
        <w:rPr>
          <w:rFonts w:cs="Arial"/>
          <w:b/>
          <w:bCs/>
        </w:rPr>
        <w:t>me residual risk</w:t>
      </w:r>
      <w:r>
        <w:t xml:space="preserve">: Critical and urgent in that failure to address the risk could lead to one or more of the following occurring: catastrophic loss of the county council's services, loss of life, significant environmental damage or huge financial loss, with related national press coverage and substantial damage to the council's reputation. </w:t>
      </w:r>
      <w:r w:rsidRPr="00FD4590">
        <w:rPr>
          <w:i/>
        </w:rPr>
        <w:t>Remedial action must be taken immediately.</w:t>
      </w:r>
    </w:p>
    <w:p w:rsidR="00B2275C" w:rsidRDefault="00B2275C" w:rsidP="00B2275C">
      <w:pPr>
        <w:tabs>
          <w:tab w:val="left" w:pos="284"/>
        </w:tabs>
        <w:spacing w:before="120" w:after="120"/>
      </w:pPr>
      <w:r w:rsidRPr="00184D55">
        <w:rPr>
          <w:rFonts w:cs="Arial"/>
          <w:b/>
          <w:bCs/>
        </w:rPr>
        <w:t>High residual risk</w:t>
      </w:r>
      <w:r w:rsidRPr="00184D55">
        <w:rPr>
          <w:rFonts w:cs="Arial"/>
          <w:bCs/>
        </w:rPr>
        <w:t>:</w:t>
      </w:r>
      <w:r>
        <w:rPr>
          <w:rFonts w:cs="Arial"/>
          <w:b/>
          <w:bCs/>
        </w:rPr>
        <w:t xml:space="preserve"> </w:t>
      </w:r>
      <w:r>
        <w:t xml:space="preserve">Critical in that failure to address the issue or progress the work would lead to one or more of the following occurring: failure to achieve organisational objectives, disruption to the business, financial loss, fraud, inefficient use of resources, failure to comply with law or regulations, or damage to the council's reputation.  </w:t>
      </w:r>
      <w:r>
        <w:rPr>
          <w:i/>
        </w:rPr>
        <w:t>Remedial action must be taken urgently</w:t>
      </w:r>
      <w:r>
        <w:t>.</w:t>
      </w:r>
    </w:p>
    <w:p w:rsidR="00B2275C" w:rsidRDefault="00B2275C" w:rsidP="00B2275C">
      <w:pPr>
        <w:tabs>
          <w:tab w:val="left" w:pos="284"/>
        </w:tabs>
        <w:spacing w:before="120" w:after="120"/>
      </w:pPr>
      <w:r w:rsidRPr="00184D55">
        <w:rPr>
          <w:rFonts w:cs="Arial"/>
          <w:b/>
          <w:bCs/>
        </w:rPr>
        <w:t>Medium residual risk</w:t>
      </w:r>
      <w:r w:rsidRPr="00184D55">
        <w:rPr>
          <w:rFonts w:cs="Arial"/>
          <w:bCs/>
        </w:rPr>
        <w:t>:</w:t>
      </w:r>
      <w:r>
        <w:rPr>
          <w:rFonts w:cs="Arial"/>
          <w:bCs/>
        </w:rPr>
        <w:t xml:space="preserve"> </w:t>
      </w:r>
      <w:r>
        <w:t xml:space="preserve">Less critical, but failure to address the issue or progress the work could impact on operational objectives and should be of concern to senior management. </w:t>
      </w:r>
      <w:r>
        <w:rPr>
          <w:i/>
        </w:rPr>
        <w:t>Prompt specific action should be taken</w:t>
      </w:r>
      <w:r>
        <w:t>. </w:t>
      </w:r>
    </w:p>
    <w:p w:rsidR="00B2275C" w:rsidRPr="00184D55" w:rsidRDefault="00B2275C" w:rsidP="00B2275C">
      <w:pPr>
        <w:tabs>
          <w:tab w:val="left" w:pos="284"/>
        </w:tabs>
        <w:spacing w:before="120" w:after="120"/>
        <w:rPr>
          <w:rFonts w:cs="Arial"/>
          <w:b/>
          <w:bCs/>
        </w:rPr>
      </w:pPr>
      <w:r w:rsidRPr="00184D55">
        <w:rPr>
          <w:rFonts w:cs="Arial"/>
          <w:b/>
          <w:bCs/>
        </w:rPr>
        <w:t>Low residual ris</w:t>
      </w:r>
      <w:r>
        <w:rPr>
          <w:rFonts w:cs="Arial"/>
          <w:b/>
          <w:bCs/>
        </w:rPr>
        <w:t>k</w:t>
      </w:r>
      <w:r w:rsidRPr="00184D55">
        <w:rPr>
          <w:rFonts w:cs="Arial"/>
          <w:bCs/>
        </w:rPr>
        <w:t>:</w:t>
      </w:r>
      <w:r>
        <w:rPr>
          <w:rFonts w:cs="Arial"/>
          <w:b/>
          <w:bCs/>
        </w:rPr>
        <w:t xml:space="preserve"> </w:t>
      </w:r>
      <w:r>
        <w:t>Areas that individually have no major impact on achieving the service objectives or on the work programme, but where combined with others could</w:t>
      </w:r>
      <w:r w:rsidRPr="006B1FE4">
        <w:rPr>
          <w:rFonts w:cs="Arial"/>
        </w:rPr>
        <w:t xml:space="preserve"> give cause for concern. </w:t>
      </w:r>
      <w:r>
        <w:rPr>
          <w:rFonts w:cs="Arial"/>
          <w:bCs/>
          <w:i/>
          <w:iCs/>
        </w:rPr>
        <w:t>Specific remedial action is desirable</w:t>
      </w:r>
      <w:r>
        <w:rPr>
          <w:rFonts w:cs="Arial"/>
          <w:bCs/>
          <w:iCs/>
        </w:rPr>
        <w:t>.</w:t>
      </w:r>
    </w:p>
    <w:p w:rsidR="00B2275C" w:rsidRDefault="00B2275C" w:rsidP="00B2275C">
      <w:pPr>
        <w:pStyle w:val="BodyText"/>
        <w:tabs>
          <w:tab w:val="left" w:pos="284"/>
        </w:tabs>
        <w:spacing w:before="120" w:after="120"/>
        <w:rPr>
          <w:b/>
          <w:sz w:val="28"/>
          <w:szCs w:val="28"/>
        </w:rPr>
        <w:sectPr w:rsidR="00B2275C" w:rsidSect="00C630F6">
          <w:headerReference w:type="default" r:id="rId24"/>
          <w:footerReference w:type="default" r:id="rId25"/>
          <w:pgSz w:w="11907" w:h="16840" w:code="9"/>
          <w:pgMar w:top="1440" w:right="1134" w:bottom="1077" w:left="1418" w:header="709" w:footer="585" w:gutter="0"/>
          <w:pgNumType w:start="1"/>
          <w:cols w:space="708"/>
          <w:docGrid w:linePitch="360"/>
        </w:sectPr>
      </w:pPr>
    </w:p>
    <w:p w:rsidR="008F2360" w:rsidRPr="003E68C1" w:rsidRDefault="008F2360" w:rsidP="008F2360">
      <w:pPr>
        <w:pStyle w:val="BodyText"/>
        <w:numPr>
          <w:ilvl w:val="0"/>
          <w:numId w:val="2"/>
        </w:numPr>
        <w:spacing w:before="240" w:after="120"/>
        <w:rPr>
          <w:b/>
          <w:sz w:val="28"/>
          <w:szCs w:val="28"/>
        </w:rPr>
      </w:pPr>
      <w:r w:rsidRPr="003E68C1">
        <w:rPr>
          <w:b/>
          <w:sz w:val="28"/>
          <w:szCs w:val="28"/>
        </w:rPr>
        <w:lastRenderedPageBreak/>
        <w:t>Scope, responsibilities and assurance</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Approach</w:t>
      </w:r>
    </w:p>
    <w:p w:rsidR="008F2360" w:rsidRDefault="004C39A9" w:rsidP="008F2360">
      <w:pPr>
        <w:pStyle w:val="BodyText"/>
        <w:numPr>
          <w:ilvl w:val="1"/>
          <w:numId w:val="2"/>
        </w:numPr>
        <w:spacing w:before="120" w:after="120"/>
      </w:pPr>
      <w:r>
        <w:t>T</w:t>
      </w:r>
      <w:r w:rsidR="008F2360">
        <w:t>he scope of internal audit encompasses all of the council’s operations, resources and services including where they are provided by other organisations on their behalf.</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Responsibilities of management and internal auditors</w:t>
      </w:r>
    </w:p>
    <w:p w:rsidR="008F2360" w:rsidRDefault="008F2360" w:rsidP="008F2360">
      <w:pPr>
        <w:pStyle w:val="BodyText"/>
        <w:numPr>
          <w:ilvl w:val="1"/>
          <w:numId w:val="2"/>
        </w:numPr>
        <w:spacing w:before="120" w:after="120"/>
      </w:pPr>
      <w:r>
        <w:t>It is management’s responsibility to maintain systems of risk management, internal control and governance. Internal audit is an element of the internal control framework assisting management in the effective discharge of its responsibilities and functions by examining and evaluating controls. Internal auditors cannot therefore be held responsible for internal control failures.</w:t>
      </w:r>
    </w:p>
    <w:p w:rsidR="008F2360" w:rsidRDefault="008F2360" w:rsidP="008F2360">
      <w:pPr>
        <w:pStyle w:val="BodyText"/>
        <w:numPr>
          <w:ilvl w:val="1"/>
          <w:numId w:val="2"/>
        </w:numPr>
        <w:spacing w:before="120" w:after="120"/>
      </w:pPr>
      <w:r>
        <w:t>However, we have planned our work so that we have a reasonable expectation of detecting significant control weaknesses. We have reported all such weaknesses to management as they have become known to us, without undue delay, and have worked with management to develop proposals for remedial action.</w:t>
      </w:r>
    </w:p>
    <w:p w:rsidR="008F2360" w:rsidRDefault="008F2360" w:rsidP="008F2360">
      <w:pPr>
        <w:pStyle w:val="BodyText"/>
        <w:numPr>
          <w:ilvl w:val="1"/>
          <w:numId w:val="2"/>
        </w:numPr>
        <w:spacing w:before="120" w:after="120"/>
      </w:pPr>
      <w:r>
        <w:t>Internal audit procedures alone do not guarantee that fraud will be detected. Accordingly, our examinations as internal auditors should not be relied upon solely to disclose fraud or other irregularities which may exist, unless we are requested to carry out a special investigation for such activities in a particular area.</w:t>
      </w:r>
    </w:p>
    <w:p w:rsidR="008F2360" w:rsidRDefault="008F2360" w:rsidP="008F2360">
      <w:pPr>
        <w:pStyle w:val="BodyText"/>
        <w:numPr>
          <w:ilvl w:val="1"/>
          <w:numId w:val="2"/>
        </w:numPr>
        <w:spacing w:before="120" w:after="120"/>
      </w:pPr>
      <w:r>
        <w:t>Internal audit’s role includes assessing the adequacy of the risk management processes, key internal control systems and corporate governance arrangements put in place by management and performing testing on a sample of transactions to ensure those controls were operating for the period under review.</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Basis of our assessment</w:t>
      </w:r>
    </w:p>
    <w:p w:rsidR="008F2360" w:rsidRDefault="008F2360" w:rsidP="008F2360">
      <w:pPr>
        <w:pStyle w:val="BodyText"/>
        <w:numPr>
          <w:ilvl w:val="1"/>
          <w:numId w:val="2"/>
        </w:numPr>
        <w:spacing w:before="120" w:after="120"/>
      </w:pPr>
      <w:r>
        <w:t xml:space="preserve">My opinion on the adequacy of control arrangements is based upon the result of internal audit reviews undertaken and completed during the period in accordance with the plan approved by the Audit </w:t>
      </w:r>
      <w:r w:rsidR="004C39A9">
        <w:t xml:space="preserve">and Governance </w:t>
      </w:r>
      <w:r>
        <w:t xml:space="preserve">Committee. Sufficient, reliable and relevant </w:t>
      </w:r>
      <w:r w:rsidRPr="00F92FDE">
        <w:t xml:space="preserve">evidence </w:t>
      </w:r>
      <w:r>
        <w:t>has been obtained</w:t>
      </w:r>
      <w:r w:rsidRPr="00F92FDE">
        <w:t xml:space="preserve"> to support the recommendations </w:t>
      </w:r>
      <w:r>
        <w:t>made.</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Limitations on the assurance that internal audit can provide</w:t>
      </w:r>
    </w:p>
    <w:p w:rsidR="008F2360" w:rsidRPr="00751710" w:rsidRDefault="008F2360" w:rsidP="008F2360">
      <w:pPr>
        <w:pStyle w:val="BodyText"/>
        <w:numPr>
          <w:ilvl w:val="1"/>
          <w:numId w:val="2"/>
        </w:numPr>
        <w:spacing w:before="120" w:after="120"/>
      </w:pPr>
      <w:r w:rsidRPr="00751710">
        <w:t xml:space="preserve">There are inherent limitations as to what can be achieved by internal control and consequently limitations to the conclusions that can be drawn from </w:t>
      </w:r>
      <w:r>
        <w:t>our work as internal auditors</w:t>
      </w:r>
      <w:r w:rsidRPr="00751710">
        <w:t>. These limitations include the possibility of faulty judgement in decision making, of breakdowns because of human error, of control activities being circumvented by the collusion of two or more people and of m</w:t>
      </w:r>
      <w:r>
        <w:t>anagement overriding controls. Further,</w:t>
      </w:r>
      <w:r w:rsidRPr="00751710">
        <w:t xml:space="preserve"> there is no certainty that internal controls will continue to operate effectively in future periods or that the controls will be adequate to mitigate all significant ri</w:t>
      </w:r>
      <w:r>
        <w:t>sks which may arise in future.</w:t>
      </w:r>
    </w:p>
    <w:p w:rsidR="008F2360" w:rsidRPr="00751710" w:rsidRDefault="008F2360" w:rsidP="008F2360">
      <w:pPr>
        <w:pStyle w:val="BodyText"/>
        <w:numPr>
          <w:ilvl w:val="1"/>
          <w:numId w:val="2"/>
        </w:numPr>
        <w:spacing w:before="120" w:after="120"/>
      </w:pPr>
      <w:r>
        <w:lastRenderedPageBreak/>
        <w:t>D</w:t>
      </w:r>
      <w:r w:rsidRPr="00751710">
        <w:t>ecisions made in designing internal controls inevitably involve the acceptance of some degree of risk. As the outcome of the operation of internal controls cannot be predicted with absolute assurance any assessment of internal control is judgmental.</w:t>
      </w:r>
    </w:p>
    <w:p w:rsidR="008F2360" w:rsidRPr="00F92FDE" w:rsidRDefault="008F2360" w:rsidP="008F2360">
      <w:pPr>
        <w:pStyle w:val="Heading3"/>
        <w:tabs>
          <w:tab w:val="left" w:pos="284"/>
        </w:tabs>
        <w:spacing w:after="120"/>
        <w:rPr>
          <w:rFonts w:ascii="Arial" w:hAnsi="Arial" w:cs="Arial"/>
        </w:rPr>
      </w:pPr>
      <w:r w:rsidRPr="00F92FDE">
        <w:rPr>
          <w:rFonts w:ascii="Arial" w:hAnsi="Arial" w:cs="Arial"/>
        </w:rPr>
        <w:t>Access to this report and responsibility to third parties</w:t>
      </w:r>
    </w:p>
    <w:p w:rsidR="008F2360" w:rsidRPr="00751710" w:rsidRDefault="008F2360" w:rsidP="008F2360">
      <w:pPr>
        <w:pStyle w:val="BodyText"/>
        <w:numPr>
          <w:ilvl w:val="1"/>
          <w:numId w:val="2"/>
        </w:numPr>
        <w:spacing w:before="120" w:after="120"/>
      </w:pPr>
      <w:r w:rsidRPr="00751710">
        <w:t xml:space="preserve">This report </w:t>
      </w:r>
      <w:r>
        <w:t xml:space="preserve">has been </w:t>
      </w:r>
      <w:r w:rsidRPr="00751710">
        <w:t xml:space="preserve">prepared solely for Lancashire County Council. </w:t>
      </w:r>
      <w:r>
        <w:t xml:space="preserve">It </w:t>
      </w:r>
      <w:r w:rsidRPr="00751710">
        <w:t xml:space="preserve">forms part of a continuing dialogue between </w:t>
      </w:r>
      <w:r>
        <w:t>the Internal Audit Service</w:t>
      </w:r>
      <w:r w:rsidRPr="00751710">
        <w:t xml:space="preserve">, the </w:t>
      </w:r>
      <w:r>
        <w:t>chief executive</w:t>
      </w:r>
      <w:r w:rsidRPr="00751710">
        <w:t xml:space="preserve">, Audit </w:t>
      </w:r>
      <w:r w:rsidR="004C39A9">
        <w:t xml:space="preserve">and Governance </w:t>
      </w:r>
      <w:r w:rsidRPr="00751710">
        <w:t>Committee and management</w:t>
      </w:r>
      <w:r>
        <w:t xml:space="preserve"> of the council</w:t>
      </w:r>
      <w:r w:rsidRPr="00751710">
        <w:t>. It is not therefore intended to include every matter that came to our attention during each internal audit review.</w:t>
      </w:r>
    </w:p>
    <w:p w:rsidR="008F2360" w:rsidRDefault="008F2360" w:rsidP="008F2360">
      <w:pPr>
        <w:pStyle w:val="BodyText"/>
        <w:numPr>
          <w:ilvl w:val="1"/>
          <w:numId w:val="2"/>
        </w:numPr>
        <w:spacing w:before="120" w:after="120"/>
      </w:pPr>
      <w:r>
        <w:t>T</w:t>
      </w:r>
      <w:r w:rsidRPr="00751710">
        <w:t>his report may be made available to other parties, such as the external auditors</w:t>
      </w:r>
      <w:r>
        <w:t xml:space="preserve"> and </w:t>
      </w:r>
      <w:r w:rsidR="004C39A9">
        <w:t>BT Lancashire Services Ltd</w:t>
      </w:r>
      <w:r w:rsidRPr="00751710">
        <w:t xml:space="preserve">. </w:t>
      </w:r>
      <w:r>
        <w:t>N</w:t>
      </w:r>
      <w:r w:rsidRPr="00751710">
        <w:t xml:space="preserve">o responsibility </w:t>
      </w:r>
      <w:r>
        <w:t xml:space="preserve">is accepted </w:t>
      </w:r>
      <w:r w:rsidRPr="00751710">
        <w:t xml:space="preserve">to any third party who may receive this report for any reliance that may </w:t>
      </w:r>
      <w:r>
        <w:t xml:space="preserve">be </w:t>
      </w:r>
      <w:r w:rsidRPr="00751710">
        <w:t>place</w:t>
      </w:r>
      <w:r>
        <w:t>d</w:t>
      </w:r>
      <w:r w:rsidRPr="00751710">
        <w:t xml:space="preserve"> on it and, in particular, the external auditors </w:t>
      </w:r>
      <w:r>
        <w:t>must</w:t>
      </w:r>
      <w:r w:rsidRPr="00751710">
        <w:t xml:space="preserve"> determine the </w:t>
      </w:r>
      <w:r>
        <w:t xml:space="preserve">reliance placed on the </w:t>
      </w:r>
      <w:r w:rsidRPr="00751710">
        <w:t>work</w:t>
      </w:r>
      <w:r>
        <w:t xml:space="preserve"> of the Internal Audit Service.</w:t>
      </w:r>
    </w:p>
    <w:p w:rsidR="00BA7E5D" w:rsidRDefault="00BA7E5D" w:rsidP="008B1E51">
      <w:pPr>
        <w:tabs>
          <w:tab w:val="left" w:pos="2666"/>
        </w:tabs>
      </w:pPr>
    </w:p>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Pr="00BA7E5D" w:rsidRDefault="00BA7E5D" w:rsidP="00BA7E5D"/>
    <w:p w:rsidR="00BA7E5D" w:rsidRDefault="00BA7E5D" w:rsidP="00BA7E5D"/>
    <w:p w:rsidR="00BA7E5D" w:rsidRDefault="00BA7E5D" w:rsidP="00BA7E5D"/>
    <w:p w:rsidR="008F2360" w:rsidRPr="00BA7E5D" w:rsidRDefault="008F2360" w:rsidP="00BA7E5D">
      <w:pPr>
        <w:jc w:val="center"/>
      </w:pPr>
    </w:p>
    <w:sectPr w:rsidR="008F2360" w:rsidRPr="00BA7E5D" w:rsidSect="004F10AA">
      <w:headerReference w:type="default" r:id="rId26"/>
      <w:footerReference w:type="default" r:id="rId27"/>
      <w:pgSz w:w="11907" w:h="16840" w:code="9"/>
      <w:pgMar w:top="1843" w:right="1134" w:bottom="1077" w:left="1418" w:header="709"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63C" w:rsidRDefault="00A4363C">
      <w:r>
        <w:separator/>
      </w:r>
    </w:p>
  </w:endnote>
  <w:endnote w:type="continuationSeparator" w:id="0">
    <w:p w:rsidR="00A4363C" w:rsidRDefault="00A4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Default="00A43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63C" w:rsidRDefault="00A43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Default="00A43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4363C" w:rsidRDefault="00A4363C">
    <w:pPr>
      <w:pStyle w:val="Footer"/>
      <w:tabs>
        <w:tab w:val="clear" w:pos="4153"/>
        <w:tab w:val="center" w:pos="360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Default="00A4363C" w:rsidP="00D7615F">
    <w:pPr>
      <w:pStyle w:val="Footer"/>
      <w:tabs>
        <w:tab w:val="clear" w:pos="4153"/>
        <w:tab w:val="clear" w:pos="8306"/>
      </w:tabs>
      <w:jc w:val="both"/>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Default="00A4363C" w:rsidP="00D7615F">
    <w:pPr>
      <w:pStyle w:val="Footer"/>
      <w:tabs>
        <w:tab w:val="clear" w:pos="4153"/>
        <w:tab w:val="clear" w:pos="8306"/>
      </w:tabs>
      <w:jc w:val="both"/>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2725CE" w:rsidRDefault="00A4363C" w:rsidP="00C82CAE">
    <w:pPr>
      <w:pStyle w:val="Footer"/>
      <w:framePr w:wrap="around" w:vAnchor="text" w:hAnchor="page" w:x="6331" w:y="203"/>
      <w:rPr>
        <w:rStyle w:val="PageNumber"/>
        <w:rFonts w:cs="Arial"/>
      </w:rPr>
    </w:pPr>
  </w:p>
  <w:p w:rsidR="00A4363C" w:rsidRDefault="00A4363C">
    <w:pPr>
      <w:pStyle w:val="Footer"/>
      <w:pBdr>
        <w:top w:val="single" w:sz="4" w:space="1" w:color="auto"/>
      </w:pBd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B82F72" w:rsidRDefault="00A4363C" w:rsidP="00974DED">
    <w:pPr>
      <w:pStyle w:val="Footer"/>
      <w:tabs>
        <w:tab w:val="clear" w:pos="4153"/>
        <w:tab w:val="clear" w:pos="8306"/>
        <w:tab w:val="left" w:pos="0"/>
        <w:tab w:val="right" w:pos="13892"/>
      </w:tabs>
      <w:spacing w:before="100"/>
      <w:rPr>
        <w:rFonts w:cs="Arial"/>
      </w:rPr>
    </w:pPr>
    <w:r>
      <w:rPr>
        <w:rFonts w:cs="Arial"/>
      </w:rPr>
      <w:tab/>
      <w:t xml:space="preserve">Annex A: </w:t>
    </w:r>
    <w:r>
      <w:rPr>
        <w:rFonts w:cs="Arial"/>
      </w:rPr>
      <w:fldChar w:fldCharType="begin"/>
    </w:r>
    <w:r>
      <w:rPr>
        <w:rFonts w:cs="Arial"/>
      </w:rPr>
      <w:instrText xml:space="preserve"> PAGE  \* Arabic  \* MERGEFORMAT </w:instrText>
    </w:r>
    <w:r>
      <w:rPr>
        <w:rFonts w:cs="Arial"/>
      </w:rPr>
      <w:fldChar w:fldCharType="separate"/>
    </w:r>
    <w:r w:rsidR="00926F41">
      <w:rPr>
        <w:rFonts w:cs="Arial"/>
        <w:noProof/>
      </w:rPr>
      <w:t>4</w:t>
    </w:r>
    <w:r>
      <w:rPr>
        <w:rFonts w:cs="Arial"/>
      </w:rPr>
      <w:fldChar w:fldCharType="end"/>
    </w:r>
  </w:p>
  <w:p w:rsidR="00A4363C" w:rsidRPr="00B82F72" w:rsidRDefault="00A4363C" w:rsidP="008B1E51">
    <w:pPr>
      <w:pStyle w:val="Footer"/>
      <w:tabs>
        <w:tab w:val="clear" w:pos="4153"/>
        <w:tab w:val="clear" w:pos="8306"/>
        <w:tab w:val="left" w:pos="3544"/>
      </w:tabs>
      <w:rPr>
        <w:rFonts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B82F72" w:rsidRDefault="00A4363C" w:rsidP="00BA7E5D">
    <w:pPr>
      <w:pStyle w:val="Footer"/>
      <w:tabs>
        <w:tab w:val="clear" w:pos="4153"/>
        <w:tab w:val="clear" w:pos="8306"/>
        <w:tab w:val="left" w:pos="0"/>
        <w:tab w:val="left" w:pos="3544"/>
      </w:tabs>
      <w:spacing w:before="100"/>
      <w:rPr>
        <w:rFonts w:cs="Arial"/>
      </w:rPr>
    </w:pPr>
    <w:r>
      <w:rPr>
        <w:rFonts w:cs="Arial"/>
      </w:rPr>
      <w:tab/>
    </w:r>
  </w:p>
  <w:p w:rsidR="00A4363C" w:rsidRPr="00B82F72" w:rsidRDefault="00A4363C" w:rsidP="008B1E51">
    <w:pPr>
      <w:pStyle w:val="Footer"/>
      <w:tabs>
        <w:tab w:val="clear" w:pos="4153"/>
        <w:tab w:val="clear" w:pos="8306"/>
        <w:tab w:val="left" w:pos="3544"/>
      </w:tabs>
      <w:rPr>
        <w:rFonts w:cs="Aria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B82F72" w:rsidRDefault="00A4363C" w:rsidP="00BA7E5D">
    <w:pPr>
      <w:pStyle w:val="Footer"/>
      <w:tabs>
        <w:tab w:val="clear" w:pos="4153"/>
        <w:tab w:val="clear" w:pos="8306"/>
        <w:tab w:val="left" w:pos="3544"/>
      </w:tabs>
      <w:spacing w:before="100"/>
      <w:rPr>
        <w:rFonts w:cs="Arial"/>
      </w:rPr>
    </w:pPr>
    <w:r>
      <w:rPr>
        <w:rFonts w:cs="Arial"/>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B82F72" w:rsidRDefault="00A4363C" w:rsidP="00BA7E5D">
    <w:pPr>
      <w:pStyle w:val="Footer"/>
      <w:tabs>
        <w:tab w:val="clear" w:pos="4153"/>
        <w:tab w:val="clear" w:pos="8306"/>
        <w:tab w:val="left" w:pos="0"/>
        <w:tab w:val="left" w:pos="3544"/>
      </w:tabs>
      <w:spacing w:before="100"/>
      <w:rPr>
        <w:rFonts w:cs="Arial"/>
      </w:rPr>
    </w:pPr>
    <w:r>
      <w:rPr>
        <w:rFonts w:cs="Arial"/>
      </w:rPr>
      <w:tab/>
    </w:r>
  </w:p>
  <w:p w:rsidR="00A4363C" w:rsidRPr="00B82F72" w:rsidRDefault="00A4363C" w:rsidP="008B1E51">
    <w:pPr>
      <w:pStyle w:val="Footer"/>
      <w:tabs>
        <w:tab w:val="clear" w:pos="4153"/>
        <w:tab w:val="clear" w:pos="8306"/>
        <w:tab w:val="left" w:pos="3544"/>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63C" w:rsidRDefault="00A4363C">
      <w:r>
        <w:separator/>
      </w:r>
    </w:p>
  </w:footnote>
  <w:footnote w:type="continuationSeparator" w:id="0">
    <w:p w:rsidR="00A4363C" w:rsidRDefault="00A4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9609F1" w:rsidRDefault="00A4363C" w:rsidP="009609F1">
    <w:pPr>
      <w:rPr>
        <w:b/>
        <w:sz w:val="16"/>
        <w:szCs w:val="16"/>
      </w:rPr>
    </w:pPr>
    <w:smartTag w:uri="urn:schemas-microsoft-com:office:smarttags" w:element="place">
      <w:r>
        <w:rPr>
          <w:b/>
          <w:sz w:val="16"/>
          <w:szCs w:val="16"/>
        </w:rPr>
        <w:t>Lancashire</w:t>
      </w:r>
    </w:smartTag>
    <w:r>
      <w:rPr>
        <w:b/>
        <w:sz w:val="16"/>
        <w:szCs w:val="16"/>
      </w:rPr>
      <w:t xml:space="preserve"> Audit Service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Default="00A4363C" w:rsidP="00D7615F">
    <w:pPr>
      <w:pStyle w:val="Heade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8816D0" w:rsidRDefault="00A4363C" w:rsidP="00D7615F">
    <w:pPr>
      <w:pStyle w:val="Header"/>
      <w:tabs>
        <w:tab w:val="clear" w:pos="4153"/>
        <w:tab w:val="clear" w:pos="8306"/>
      </w:tabs>
      <w:rPr>
        <w:rFonts w:cs="Arial"/>
      </w:rPr>
    </w:pPr>
    <w:r w:rsidRPr="008816D0">
      <w:rPr>
        <w:rFonts w:cs="Arial"/>
      </w:rPr>
      <w:t xml:space="preserve">Lancashire </w:t>
    </w:r>
    <w:r>
      <w:rPr>
        <w:rFonts w:cs="Arial"/>
      </w:rPr>
      <w:t xml:space="preserve">County Council Internal </w:t>
    </w:r>
    <w:r w:rsidRPr="008816D0">
      <w:rPr>
        <w:rFonts w:cs="Arial"/>
      </w:rPr>
      <w:t>Audit Service</w:t>
    </w:r>
  </w:p>
  <w:p w:rsidR="00A4363C" w:rsidRDefault="00A4363C">
    <w:pPr>
      <w:pStyle w:val="Header"/>
      <w:rPr>
        <w:rFonts w:cs="Arial"/>
      </w:rPr>
    </w:pPr>
    <w:r w:rsidRPr="008816D0">
      <w:rPr>
        <w:rFonts w:cs="Arial"/>
      </w:rPr>
      <w:t xml:space="preserve">Annual report </w:t>
    </w:r>
    <w:r>
      <w:rPr>
        <w:rFonts w:cs="Arial"/>
      </w:rPr>
      <w:t xml:space="preserve">for the year ended 31 March 2015 </w:t>
    </w:r>
  </w:p>
  <w:p w:rsidR="00A4363C" w:rsidRPr="00B521DC" w:rsidRDefault="00A4363C">
    <w:pPr>
      <w:pStyle w:val="Header"/>
      <w:pBdr>
        <w:bottom w:val="single" w:sz="4" w:space="1" w:color="auto"/>
      </w:pBdr>
      <w:rPr>
        <w:rFonts w:cs="Arial"/>
        <w:sz w:val="16"/>
        <w:szCs w:val="16"/>
      </w:rPr>
    </w:pPr>
  </w:p>
  <w:p w:rsidR="00A4363C" w:rsidRDefault="00A436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8816D0" w:rsidRDefault="00A4363C" w:rsidP="00D7615F">
    <w:pPr>
      <w:pStyle w:val="Header"/>
      <w:tabs>
        <w:tab w:val="clear" w:pos="4153"/>
        <w:tab w:val="clear" w:pos="8306"/>
      </w:tabs>
      <w:rPr>
        <w:rFonts w:cs="Arial"/>
      </w:rPr>
    </w:pPr>
    <w:r w:rsidRPr="008816D0">
      <w:rPr>
        <w:rFonts w:cs="Arial"/>
      </w:rPr>
      <w:t xml:space="preserve">Lancashire </w:t>
    </w:r>
    <w:r>
      <w:rPr>
        <w:rFonts w:cs="Arial"/>
      </w:rPr>
      <w:t xml:space="preserve">County Council Internal </w:t>
    </w:r>
    <w:r w:rsidRPr="008816D0">
      <w:rPr>
        <w:rFonts w:cs="Arial"/>
      </w:rPr>
      <w:t>Audit Service</w:t>
    </w:r>
  </w:p>
  <w:p w:rsidR="00A4363C" w:rsidRDefault="00A4363C" w:rsidP="00D7615F">
    <w:pPr>
      <w:pStyle w:val="Header"/>
      <w:tabs>
        <w:tab w:val="clear" w:pos="4153"/>
        <w:tab w:val="clear" w:pos="8306"/>
      </w:tabs>
      <w:rPr>
        <w:rFonts w:cs="Arial"/>
      </w:rPr>
    </w:pPr>
    <w:r w:rsidRPr="008816D0">
      <w:rPr>
        <w:rFonts w:cs="Arial"/>
      </w:rPr>
      <w:t xml:space="preserve">Annual report </w:t>
    </w:r>
    <w:r>
      <w:rPr>
        <w:rFonts w:cs="Arial"/>
      </w:rPr>
      <w:t>for the year ended 31 March 2015</w:t>
    </w:r>
  </w:p>
  <w:p w:rsidR="00A4363C" w:rsidRPr="00B521DC" w:rsidRDefault="00A4363C">
    <w:pPr>
      <w:pStyle w:val="Header"/>
      <w:pBdr>
        <w:bottom w:val="single" w:sz="4" w:space="1" w:color="auto"/>
      </w:pBdr>
      <w:rPr>
        <w:rFonts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8816D0" w:rsidRDefault="00A4363C" w:rsidP="00974DED">
    <w:pPr>
      <w:pStyle w:val="Header"/>
      <w:tabs>
        <w:tab w:val="clear" w:pos="4153"/>
        <w:tab w:val="clear" w:pos="8306"/>
        <w:tab w:val="right" w:pos="13892"/>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r w:rsidRPr="00B82F72">
      <w:rPr>
        <w:rFonts w:cs="Arial"/>
        <w:b/>
      </w:rPr>
      <w:t>A</w:t>
    </w:r>
    <w:r>
      <w:rPr>
        <w:rFonts w:cs="Arial"/>
        <w:b/>
      </w:rPr>
      <w:t>nne</w:t>
    </w:r>
    <w:r w:rsidRPr="00B82F72">
      <w:rPr>
        <w:rFonts w:cs="Arial"/>
        <w:b/>
      </w:rPr>
      <w:t>x</w:t>
    </w:r>
    <w:r>
      <w:rPr>
        <w:rFonts w:cs="Arial"/>
        <w:b/>
      </w:rPr>
      <w:t xml:space="preserve"> A</w:t>
    </w:r>
  </w:p>
  <w:p w:rsidR="00A4363C" w:rsidRDefault="00A4363C">
    <w:pPr>
      <w:pStyle w:val="Header"/>
      <w:rPr>
        <w:rFonts w:cs="Arial"/>
      </w:rPr>
    </w:pPr>
    <w:r w:rsidRPr="008816D0">
      <w:rPr>
        <w:rFonts w:cs="Arial"/>
      </w:rPr>
      <w:t>Annual report for the year ended</w:t>
    </w:r>
    <w:r>
      <w:rPr>
        <w:rFonts w:cs="Arial"/>
      </w:rPr>
      <w:t xml:space="preserve"> 31 March 2015</w:t>
    </w:r>
  </w:p>
  <w:p w:rsidR="00A4363C" w:rsidRPr="00B521DC" w:rsidRDefault="00A4363C">
    <w:pPr>
      <w:pStyle w:val="Header"/>
      <w:pBdr>
        <w:bottom w:val="single" w:sz="4" w:space="1" w:color="auto"/>
      </w:pBdr>
      <w:rPr>
        <w:rFonts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8816D0" w:rsidRDefault="00A4363C" w:rsidP="00D7615F">
    <w:pPr>
      <w:pStyle w:val="Header"/>
      <w:tabs>
        <w:tab w:val="clear" w:pos="4153"/>
        <w:tab w:val="clear" w:pos="8306"/>
        <w:tab w:val="right" w:pos="9356"/>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r w:rsidRPr="00B82F72">
      <w:rPr>
        <w:rFonts w:cs="Arial"/>
        <w:b/>
      </w:rPr>
      <w:t>A</w:t>
    </w:r>
    <w:r>
      <w:rPr>
        <w:rFonts w:cs="Arial"/>
        <w:b/>
      </w:rPr>
      <w:t>nne</w:t>
    </w:r>
    <w:r w:rsidRPr="00B82F72">
      <w:rPr>
        <w:rFonts w:cs="Arial"/>
        <w:b/>
      </w:rPr>
      <w:t>x</w:t>
    </w:r>
    <w:r>
      <w:rPr>
        <w:rFonts w:cs="Arial"/>
        <w:b/>
      </w:rPr>
      <w:t xml:space="preserve"> B</w:t>
    </w:r>
  </w:p>
  <w:p w:rsidR="00A4363C" w:rsidRDefault="00A4363C">
    <w:pPr>
      <w:pStyle w:val="Header"/>
      <w:rPr>
        <w:rFonts w:cs="Arial"/>
      </w:rPr>
    </w:pPr>
    <w:r w:rsidRPr="008816D0">
      <w:rPr>
        <w:rFonts w:cs="Arial"/>
      </w:rPr>
      <w:t>Annual report for the year ended</w:t>
    </w:r>
    <w:r>
      <w:rPr>
        <w:rFonts w:cs="Arial"/>
      </w:rPr>
      <w:t xml:space="preserve"> 31 March 2015</w:t>
    </w:r>
  </w:p>
  <w:p w:rsidR="00A4363C" w:rsidRPr="00B521DC" w:rsidRDefault="00A4363C">
    <w:pPr>
      <w:pStyle w:val="Header"/>
      <w:pBdr>
        <w:bottom w:val="single" w:sz="4" w:space="1" w:color="auto"/>
      </w:pBdr>
      <w:rPr>
        <w:rFonts w:cs="Arial"/>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8816D0" w:rsidRDefault="00A4363C" w:rsidP="00D7615F">
    <w:pPr>
      <w:pStyle w:val="Header"/>
      <w:tabs>
        <w:tab w:val="clear" w:pos="4153"/>
        <w:tab w:val="clear" w:pos="8306"/>
        <w:tab w:val="right" w:pos="9356"/>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r w:rsidRPr="00B82F72">
      <w:rPr>
        <w:rFonts w:cs="Arial"/>
        <w:b/>
      </w:rPr>
      <w:t>A</w:t>
    </w:r>
    <w:r>
      <w:rPr>
        <w:rFonts w:cs="Arial"/>
        <w:b/>
      </w:rPr>
      <w:t>nne</w:t>
    </w:r>
    <w:r w:rsidRPr="00B82F72">
      <w:rPr>
        <w:rFonts w:cs="Arial"/>
        <w:b/>
      </w:rPr>
      <w:t>x</w:t>
    </w:r>
    <w:r>
      <w:rPr>
        <w:rFonts w:cs="Arial"/>
        <w:b/>
      </w:rPr>
      <w:t xml:space="preserve"> C</w:t>
    </w:r>
  </w:p>
  <w:p w:rsidR="00A4363C" w:rsidRDefault="00A4363C">
    <w:pPr>
      <w:pStyle w:val="Header"/>
      <w:rPr>
        <w:rFonts w:cs="Arial"/>
      </w:rPr>
    </w:pPr>
    <w:r w:rsidRPr="008816D0">
      <w:rPr>
        <w:rFonts w:cs="Arial"/>
      </w:rPr>
      <w:t>Annual report for the year ended</w:t>
    </w:r>
    <w:r>
      <w:rPr>
        <w:rFonts w:cs="Arial"/>
      </w:rPr>
      <w:t xml:space="preserve"> 31 March 2015</w:t>
    </w:r>
  </w:p>
  <w:p w:rsidR="00A4363C" w:rsidRPr="00B521DC" w:rsidRDefault="00A4363C">
    <w:pPr>
      <w:pStyle w:val="Header"/>
      <w:pBdr>
        <w:bottom w:val="single" w:sz="4" w:space="1" w:color="auto"/>
      </w:pBdr>
      <w:rPr>
        <w:rFonts w:cs="Arial"/>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3C" w:rsidRPr="008816D0" w:rsidRDefault="00A4363C" w:rsidP="00D7615F">
    <w:pPr>
      <w:pStyle w:val="Header"/>
      <w:tabs>
        <w:tab w:val="clear" w:pos="4153"/>
        <w:tab w:val="clear" w:pos="8306"/>
        <w:tab w:val="right" w:pos="9356"/>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r w:rsidRPr="00B82F72">
      <w:rPr>
        <w:rFonts w:cs="Arial"/>
        <w:b/>
      </w:rPr>
      <w:t>A</w:t>
    </w:r>
    <w:r>
      <w:rPr>
        <w:rFonts w:cs="Arial"/>
        <w:b/>
      </w:rPr>
      <w:t>nne</w:t>
    </w:r>
    <w:r w:rsidRPr="00B82F72">
      <w:rPr>
        <w:rFonts w:cs="Arial"/>
        <w:b/>
      </w:rPr>
      <w:t>x</w:t>
    </w:r>
    <w:r>
      <w:rPr>
        <w:rFonts w:cs="Arial"/>
        <w:b/>
      </w:rPr>
      <w:t xml:space="preserve"> D</w:t>
    </w:r>
  </w:p>
  <w:p w:rsidR="00A4363C" w:rsidRDefault="00A4363C">
    <w:pPr>
      <w:pStyle w:val="Header"/>
      <w:rPr>
        <w:rFonts w:cs="Arial"/>
      </w:rPr>
    </w:pPr>
    <w:r w:rsidRPr="008816D0">
      <w:rPr>
        <w:rFonts w:cs="Arial"/>
      </w:rPr>
      <w:t>Annual report for the year ended</w:t>
    </w:r>
    <w:r>
      <w:rPr>
        <w:rFonts w:cs="Arial"/>
      </w:rPr>
      <w:t xml:space="preserve"> 31 March 2015</w:t>
    </w:r>
  </w:p>
  <w:p w:rsidR="00A4363C" w:rsidRPr="00B521DC" w:rsidRDefault="00A4363C">
    <w:pPr>
      <w:pStyle w:val="Header"/>
      <w:pBdr>
        <w:bottom w:val="single" w:sz="4" w:space="1" w:color="auto"/>
      </w:pBd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
    <w:nsid w:val="05925A6C"/>
    <w:multiLevelType w:val="hybridMultilevel"/>
    <w:tmpl w:val="60C2896C"/>
    <w:lvl w:ilvl="0" w:tplc="68E0F5DA">
      <w:start w:val="1"/>
      <w:numFmt w:val="decimal"/>
      <w:lvlText w:val="%1"/>
      <w:lvlJc w:val="left"/>
      <w:pPr>
        <w:tabs>
          <w:tab w:val="num" w:pos="0"/>
        </w:tabs>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B430428"/>
    <w:multiLevelType w:val="hybridMultilevel"/>
    <w:tmpl w:val="8C8EA9C0"/>
    <w:lvl w:ilvl="0" w:tplc="D7CE8166">
      <w:start w:val="1"/>
      <w:numFmt w:val="bullet"/>
      <w:pStyle w:val="Ruth-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C74B4"/>
    <w:multiLevelType w:val="multilevel"/>
    <w:tmpl w:val="71A684E0"/>
    <w:lvl w:ilvl="0">
      <w:start w:val="1"/>
      <w:numFmt w:val="decimal"/>
      <w:pStyle w:val="Ruth-headingnumbered"/>
      <w:lvlText w:val="%1."/>
      <w:lvlJc w:val="left"/>
      <w:pPr>
        <w:ind w:left="360" w:hanging="360"/>
      </w:pPr>
      <w:rPr>
        <w:rFonts w:cs="Times New Roman"/>
      </w:rPr>
    </w:lvl>
    <w:lvl w:ilvl="1">
      <w:start w:val="1"/>
      <w:numFmt w:val="decimal"/>
      <w:pStyle w:val="Ruth-numberedparargraph"/>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062300A"/>
    <w:multiLevelType w:val="multilevel"/>
    <w:tmpl w:val="0809001D"/>
    <w:styleLink w:val="Ruth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FC6393"/>
    <w:multiLevelType w:val="multilevel"/>
    <w:tmpl w:val="4E92AA8C"/>
    <w:styleLink w:val="Style1"/>
    <w:lvl w:ilvl="0">
      <w:start w:val="1"/>
      <w:numFmt w:val="decimal"/>
      <w:lvlText w:val="%1"/>
      <w:lvlJc w:val="left"/>
      <w:pPr>
        <w:tabs>
          <w:tab w:val="num" w:pos="851"/>
        </w:tabs>
        <w:ind w:left="851" w:hanging="851"/>
      </w:pPr>
      <w:rPr>
        <w:rFonts w:ascii="Arial Bold" w:hAnsi="Arial Bold" w:cs="Times New Roman" w:hint="default"/>
        <w:b/>
        <w:i w:val="0"/>
        <w:sz w:val="28"/>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6">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20" w:hanging="360"/>
      </w:pPr>
      <w:rPr>
        <w:rFonts w:ascii="Arial" w:hAnsi="Arial"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8">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Ruthsbulletpoint"/>
      <w:lvlText w:val=""/>
      <w:lvlJc w:val="left"/>
      <w:pPr>
        <w:ind w:left="72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7"/>
  </w:num>
  <w:num w:numId="2">
    <w:abstractNumId w:val="0"/>
  </w:num>
  <w:num w:numId="3">
    <w:abstractNumId w:val="1"/>
  </w:num>
  <w:num w:numId="4">
    <w:abstractNumId w:val="8"/>
  </w:num>
  <w:num w:numId="5">
    <w:abstractNumId w:val="9"/>
  </w:num>
  <w:num w:numId="6">
    <w:abstractNumId w:val="6"/>
  </w:num>
  <w:num w:numId="7">
    <w:abstractNumId w:val="3"/>
  </w:num>
  <w:num w:numId="8">
    <w:abstractNumId w:val="2"/>
  </w:num>
  <w:num w:numId="9">
    <w:abstractNumId w:val="4"/>
  </w:num>
  <w:num w:numId="10">
    <w:abstractNumId w:val="5"/>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A6"/>
    <w:rsid w:val="0000050C"/>
    <w:rsid w:val="000015C1"/>
    <w:rsid w:val="00003B9F"/>
    <w:rsid w:val="0000667C"/>
    <w:rsid w:val="00007332"/>
    <w:rsid w:val="00007A1E"/>
    <w:rsid w:val="00010F08"/>
    <w:rsid w:val="000115A5"/>
    <w:rsid w:val="00011A3F"/>
    <w:rsid w:val="000122AC"/>
    <w:rsid w:val="00012E69"/>
    <w:rsid w:val="00013884"/>
    <w:rsid w:val="00013939"/>
    <w:rsid w:val="00015256"/>
    <w:rsid w:val="00015293"/>
    <w:rsid w:val="00015B4D"/>
    <w:rsid w:val="00017046"/>
    <w:rsid w:val="0001766E"/>
    <w:rsid w:val="00017CE8"/>
    <w:rsid w:val="00021C3D"/>
    <w:rsid w:val="00022DC0"/>
    <w:rsid w:val="00024EC4"/>
    <w:rsid w:val="0002557B"/>
    <w:rsid w:val="00025686"/>
    <w:rsid w:val="00025C1F"/>
    <w:rsid w:val="00026757"/>
    <w:rsid w:val="00026B0B"/>
    <w:rsid w:val="00027583"/>
    <w:rsid w:val="000309B2"/>
    <w:rsid w:val="00032FC4"/>
    <w:rsid w:val="0003301A"/>
    <w:rsid w:val="000338EF"/>
    <w:rsid w:val="00037E74"/>
    <w:rsid w:val="0004587E"/>
    <w:rsid w:val="00046DE6"/>
    <w:rsid w:val="000470B0"/>
    <w:rsid w:val="000475EF"/>
    <w:rsid w:val="00052B37"/>
    <w:rsid w:val="00052CC9"/>
    <w:rsid w:val="00052FE7"/>
    <w:rsid w:val="00053DBC"/>
    <w:rsid w:val="00054ECB"/>
    <w:rsid w:val="0005650A"/>
    <w:rsid w:val="0006012B"/>
    <w:rsid w:val="0006056D"/>
    <w:rsid w:val="00060FB1"/>
    <w:rsid w:val="00061C62"/>
    <w:rsid w:val="000630E4"/>
    <w:rsid w:val="0006426C"/>
    <w:rsid w:val="00065190"/>
    <w:rsid w:val="00065308"/>
    <w:rsid w:val="00065364"/>
    <w:rsid w:val="00070B07"/>
    <w:rsid w:val="0007245C"/>
    <w:rsid w:val="00073EC6"/>
    <w:rsid w:val="000818EB"/>
    <w:rsid w:val="00082526"/>
    <w:rsid w:val="000830A4"/>
    <w:rsid w:val="000842EB"/>
    <w:rsid w:val="0008560C"/>
    <w:rsid w:val="00085AFF"/>
    <w:rsid w:val="00090FB6"/>
    <w:rsid w:val="00092267"/>
    <w:rsid w:val="0009258F"/>
    <w:rsid w:val="00092D2A"/>
    <w:rsid w:val="00094CDD"/>
    <w:rsid w:val="00096119"/>
    <w:rsid w:val="00097636"/>
    <w:rsid w:val="000A2B6C"/>
    <w:rsid w:val="000A5519"/>
    <w:rsid w:val="000B2FE6"/>
    <w:rsid w:val="000B484D"/>
    <w:rsid w:val="000B74EC"/>
    <w:rsid w:val="000C53AE"/>
    <w:rsid w:val="000C5BE5"/>
    <w:rsid w:val="000C64FA"/>
    <w:rsid w:val="000D055A"/>
    <w:rsid w:val="000D241E"/>
    <w:rsid w:val="000D2FCB"/>
    <w:rsid w:val="000D3E67"/>
    <w:rsid w:val="000D683D"/>
    <w:rsid w:val="000D7661"/>
    <w:rsid w:val="000E0657"/>
    <w:rsid w:val="000E10C8"/>
    <w:rsid w:val="000E70AE"/>
    <w:rsid w:val="000F13A1"/>
    <w:rsid w:val="000F19DA"/>
    <w:rsid w:val="000F3BD4"/>
    <w:rsid w:val="000F69A3"/>
    <w:rsid w:val="00101965"/>
    <w:rsid w:val="00102DE9"/>
    <w:rsid w:val="00102F88"/>
    <w:rsid w:val="001045E4"/>
    <w:rsid w:val="00105178"/>
    <w:rsid w:val="0010557A"/>
    <w:rsid w:val="00105F13"/>
    <w:rsid w:val="00106AEA"/>
    <w:rsid w:val="00107FE7"/>
    <w:rsid w:val="00110E15"/>
    <w:rsid w:val="00111AFD"/>
    <w:rsid w:val="001128D2"/>
    <w:rsid w:val="00112E3B"/>
    <w:rsid w:val="001137E0"/>
    <w:rsid w:val="001144B8"/>
    <w:rsid w:val="0011476E"/>
    <w:rsid w:val="00114B41"/>
    <w:rsid w:val="00115424"/>
    <w:rsid w:val="0011645C"/>
    <w:rsid w:val="001201FA"/>
    <w:rsid w:val="0012317A"/>
    <w:rsid w:val="00123940"/>
    <w:rsid w:val="001239DF"/>
    <w:rsid w:val="00123A78"/>
    <w:rsid w:val="001250D7"/>
    <w:rsid w:val="00125873"/>
    <w:rsid w:val="00127CBD"/>
    <w:rsid w:val="00130339"/>
    <w:rsid w:val="001308F8"/>
    <w:rsid w:val="001314D9"/>
    <w:rsid w:val="00133103"/>
    <w:rsid w:val="00133F47"/>
    <w:rsid w:val="001366B9"/>
    <w:rsid w:val="00137384"/>
    <w:rsid w:val="00137962"/>
    <w:rsid w:val="0014041E"/>
    <w:rsid w:val="00140687"/>
    <w:rsid w:val="0014199E"/>
    <w:rsid w:val="00141C81"/>
    <w:rsid w:val="0014351A"/>
    <w:rsid w:val="0014478E"/>
    <w:rsid w:val="00144B74"/>
    <w:rsid w:val="00144FB5"/>
    <w:rsid w:val="00146B3F"/>
    <w:rsid w:val="00150CA3"/>
    <w:rsid w:val="00151ACA"/>
    <w:rsid w:val="00156BC4"/>
    <w:rsid w:val="0015705B"/>
    <w:rsid w:val="00163D31"/>
    <w:rsid w:val="00163E2E"/>
    <w:rsid w:val="001644AF"/>
    <w:rsid w:val="00164EDC"/>
    <w:rsid w:val="00165AE4"/>
    <w:rsid w:val="001664FC"/>
    <w:rsid w:val="0016780A"/>
    <w:rsid w:val="0017047A"/>
    <w:rsid w:val="00171170"/>
    <w:rsid w:val="001714DB"/>
    <w:rsid w:val="00172253"/>
    <w:rsid w:val="00172D45"/>
    <w:rsid w:val="001734A3"/>
    <w:rsid w:val="001747C7"/>
    <w:rsid w:val="00175214"/>
    <w:rsid w:val="00175B59"/>
    <w:rsid w:val="00176D18"/>
    <w:rsid w:val="00177053"/>
    <w:rsid w:val="001779FA"/>
    <w:rsid w:val="0018355B"/>
    <w:rsid w:val="00183568"/>
    <w:rsid w:val="001839E4"/>
    <w:rsid w:val="0018461B"/>
    <w:rsid w:val="00184D55"/>
    <w:rsid w:val="0018507A"/>
    <w:rsid w:val="00186350"/>
    <w:rsid w:val="00186C2E"/>
    <w:rsid w:val="0018787F"/>
    <w:rsid w:val="00190228"/>
    <w:rsid w:val="0019279A"/>
    <w:rsid w:val="00194CEA"/>
    <w:rsid w:val="00197283"/>
    <w:rsid w:val="001A108C"/>
    <w:rsid w:val="001A3DB8"/>
    <w:rsid w:val="001A4EEE"/>
    <w:rsid w:val="001A51F9"/>
    <w:rsid w:val="001A70BA"/>
    <w:rsid w:val="001A7668"/>
    <w:rsid w:val="001B0EFB"/>
    <w:rsid w:val="001B1116"/>
    <w:rsid w:val="001B1C70"/>
    <w:rsid w:val="001B1F89"/>
    <w:rsid w:val="001B239E"/>
    <w:rsid w:val="001B27C1"/>
    <w:rsid w:val="001B2A7C"/>
    <w:rsid w:val="001B4169"/>
    <w:rsid w:val="001B4668"/>
    <w:rsid w:val="001B47AD"/>
    <w:rsid w:val="001C3D2C"/>
    <w:rsid w:val="001C44EE"/>
    <w:rsid w:val="001C4543"/>
    <w:rsid w:val="001C5016"/>
    <w:rsid w:val="001C5281"/>
    <w:rsid w:val="001C659D"/>
    <w:rsid w:val="001C6673"/>
    <w:rsid w:val="001C7024"/>
    <w:rsid w:val="001D0158"/>
    <w:rsid w:val="001D1593"/>
    <w:rsid w:val="001D1ABA"/>
    <w:rsid w:val="001D2D57"/>
    <w:rsid w:val="001D30B4"/>
    <w:rsid w:val="001D3124"/>
    <w:rsid w:val="001D3625"/>
    <w:rsid w:val="001D3699"/>
    <w:rsid w:val="001D3962"/>
    <w:rsid w:val="001D631A"/>
    <w:rsid w:val="001E290C"/>
    <w:rsid w:val="001E2A15"/>
    <w:rsid w:val="001E35C0"/>
    <w:rsid w:val="001E3F91"/>
    <w:rsid w:val="001E44E8"/>
    <w:rsid w:val="001E45F6"/>
    <w:rsid w:val="001E4897"/>
    <w:rsid w:val="001E4BF8"/>
    <w:rsid w:val="001E52AC"/>
    <w:rsid w:val="001E5E06"/>
    <w:rsid w:val="001E65F8"/>
    <w:rsid w:val="001F0E46"/>
    <w:rsid w:val="001F21D1"/>
    <w:rsid w:val="001F5771"/>
    <w:rsid w:val="001F69E1"/>
    <w:rsid w:val="002000D8"/>
    <w:rsid w:val="00200E74"/>
    <w:rsid w:val="00200FBB"/>
    <w:rsid w:val="00202C8E"/>
    <w:rsid w:val="002044AA"/>
    <w:rsid w:val="002055C9"/>
    <w:rsid w:val="002062F8"/>
    <w:rsid w:val="00206FBC"/>
    <w:rsid w:val="002102BB"/>
    <w:rsid w:val="002110ED"/>
    <w:rsid w:val="002115F3"/>
    <w:rsid w:val="00214793"/>
    <w:rsid w:val="002158F6"/>
    <w:rsid w:val="00216AB8"/>
    <w:rsid w:val="00217FC6"/>
    <w:rsid w:val="00221E25"/>
    <w:rsid w:val="00223C94"/>
    <w:rsid w:val="00225335"/>
    <w:rsid w:val="00226027"/>
    <w:rsid w:val="00232B3A"/>
    <w:rsid w:val="00232E4A"/>
    <w:rsid w:val="002345A3"/>
    <w:rsid w:val="00236313"/>
    <w:rsid w:val="00236D88"/>
    <w:rsid w:val="002416D7"/>
    <w:rsid w:val="00241992"/>
    <w:rsid w:val="00243D12"/>
    <w:rsid w:val="00243DA8"/>
    <w:rsid w:val="00243FE7"/>
    <w:rsid w:val="00245FDD"/>
    <w:rsid w:val="00246022"/>
    <w:rsid w:val="00247688"/>
    <w:rsid w:val="0025016A"/>
    <w:rsid w:val="002511F1"/>
    <w:rsid w:val="00253633"/>
    <w:rsid w:val="00254701"/>
    <w:rsid w:val="00256C20"/>
    <w:rsid w:val="002604F2"/>
    <w:rsid w:val="0026414A"/>
    <w:rsid w:val="0026421D"/>
    <w:rsid w:val="0026486F"/>
    <w:rsid w:val="002661CD"/>
    <w:rsid w:val="00270E9C"/>
    <w:rsid w:val="00271127"/>
    <w:rsid w:val="00271990"/>
    <w:rsid w:val="002725CE"/>
    <w:rsid w:val="00275CF2"/>
    <w:rsid w:val="00276974"/>
    <w:rsid w:val="00276B77"/>
    <w:rsid w:val="00277217"/>
    <w:rsid w:val="002809CE"/>
    <w:rsid w:val="00280CA9"/>
    <w:rsid w:val="00280FD0"/>
    <w:rsid w:val="00282478"/>
    <w:rsid w:val="00282F4A"/>
    <w:rsid w:val="002840CA"/>
    <w:rsid w:val="0028551D"/>
    <w:rsid w:val="00285B2E"/>
    <w:rsid w:val="002863C3"/>
    <w:rsid w:val="0028667F"/>
    <w:rsid w:val="00287216"/>
    <w:rsid w:val="002904DB"/>
    <w:rsid w:val="002910C1"/>
    <w:rsid w:val="00295492"/>
    <w:rsid w:val="002A14D7"/>
    <w:rsid w:val="002A658F"/>
    <w:rsid w:val="002A6FD7"/>
    <w:rsid w:val="002B1AA4"/>
    <w:rsid w:val="002B2B14"/>
    <w:rsid w:val="002B3EF4"/>
    <w:rsid w:val="002B45DC"/>
    <w:rsid w:val="002B4A9F"/>
    <w:rsid w:val="002C01CC"/>
    <w:rsid w:val="002C0B2B"/>
    <w:rsid w:val="002C1357"/>
    <w:rsid w:val="002C2DB8"/>
    <w:rsid w:val="002C3432"/>
    <w:rsid w:val="002C4B5E"/>
    <w:rsid w:val="002C55F5"/>
    <w:rsid w:val="002C5A0E"/>
    <w:rsid w:val="002C5A5C"/>
    <w:rsid w:val="002C6572"/>
    <w:rsid w:val="002C69C9"/>
    <w:rsid w:val="002C706A"/>
    <w:rsid w:val="002C791A"/>
    <w:rsid w:val="002D2DE8"/>
    <w:rsid w:val="002D30A7"/>
    <w:rsid w:val="002D313B"/>
    <w:rsid w:val="002D3C91"/>
    <w:rsid w:val="002D402D"/>
    <w:rsid w:val="002D43A9"/>
    <w:rsid w:val="002D4966"/>
    <w:rsid w:val="002D4F9D"/>
    <w:rsid w:val="002E0324"/>
    <w:rsid w:val="002E401B"/>
    <w:rsid w:val="002E5F01"/>
    <w:rsid w:val="002E684B"/>
    <w:rsid w:val="002E6BFC"/>
    <w:rsid w:val="002E6E8B"/>
    <w:rsid w:val="002E78B2"/>
    <w:rsid w:val="002F0A1C"/>
    <w:rsid w:val="002F1D1B"/>
    <w:rsid w:val="002F3636"/>
    <w:rsid w:val="002F786C"/>
    <w:rsid w:val="002F7C0F"/>
    <w:rsid w:val="00300925"/>
    <w:rsid w:val="00300C4F"/>
    <w:rsid w:val="00302841"/>
    <w:rsid w:val="0030573E"/>
    <w:rsid w:val="003075D3"/>
    <w:rsid w:val="00307708"/>
    <w:rsid w:val="00310E19"/>
    <w:rsid w:val="00311027"/>
    <w:rsid w:val="00312604"/>
    <w:rsid w:val="00312686"/>
    <w:rsid w:val="00312BEE"/>
    <w:rsid w:val="00312E06"/>
    <w:rsid w:val="003132B4"/>
    <w:rsid w:val="003166DA"/>
    <w:rsid w:val="003216EF"/>
    <w:rsid w:val="00321827"/>
    <w:rsid w:val="0032695A"/>
    <w:rsid w:val="00327885"/>
    <w:rsid w:val="00331358"/>
    <w:rsid w:val="0033199C"/>
    <w:rsid w:val="00331E0D"/>
    <w:rsid w:val="00331EA6"/>
    <w:rsid w:val="00331FFB"/>
    <w:rsid w:val="0033326B"/>
    <w:rsid w:val="00336291"/>
    <w:rsid w:val="00337C94"/>
    <w:rsid w:val="003422EF"/>
    <w:rsid w:val="00342927"/>
    <w:rsid w:val="00342D61"/>
    <w:rsid w:val="00343414"/>
    <w:rsid w:val="00345C0B"/>
    <w:rsid w:val="00347054"/>
    <w:rsid w:val="003471C3"/>
    <w:rsid w:val="00350383"/>
    <w:rsid w:val="00350388"/>
    <w:rsid w:val="00350417"/>
    <w:rsid w:val="00350421"/>
    <w:rsid w:val="00351406"/>
    <w:rsid w:val="003517B2"/>
    <w:rsid w:val="00351952"/>
    <w:rsid w:val="00352B54"/>
    <w:rsid w:val="00352B6A"/>
    <w:rsid w:val="00353991"/>
    <w:rsid w:val="00353AF0"/>
    <w:rsid w:val="00354D2C"/>
    <w:rsid w:val="00356801"/>
    <w:rsid w:val="003574E9"/>
    <w:rsid w:val="003608DB"/>
    <w:rsid w:val="00361511"/>
    <w:rsid w:val="0036157D"/>
    <w:rsid w:val="00361C6B"/>
    <w:rsid w:val="0036204D"/>
    <w:rsid w:val="003637AB"/>
    <w:rsid w:val="003644D3"/>
    <w:rsid w:val="00364994"/>
    <w:rsid w:val="00366445"/>
    <w:rsid w:val="0036710E"/>
    <w:rsid w:val="00367B08"/>
    <w:rsid w:val="00367DB0"/>
    <w:rsid w:val="00371B40"/>
    <w:rsid w:val="0037233B"/>
    <w:rsid w:val="00372D20"/>
    <w:rsid w:val="00374DF3"/>
    <w:rsid w:val="0038003D"/>
    <w:rsid w:val="00381A63"/>
    <w:rsid w:val="00382383"/>
    <w:rsid w:val="003847CA"/>
    <w:rsid w:val="0038594F"/>
    <w:rsid w:val="003859C3"/>
    <w:rsid w:val="00385FFA"/>
    <w:rsid w:val="0038654D"/>
    <w:rsid w:val="00386D86"/>
    <w:rsid w:val="00387189"/>
    <w:rsid w:val="00387939"/>
    <w:rsid w:val="00391029"/>
    <w:rsid w:val="00391B7C"/>
    <w:rsid w:val="00393072"/>
    <w:rsid w:val="00394CB9"/>
    <w:rsid w:val="00395354"/>
    <w:rsid w:val="003A0398"/>
    <w:rsid w:val="003A1B70"/>
    <w:rsid w:val="003A46F6"/>
    <w:rsid w:val="003A47FB"/>
    <w:rsid w:val="003A7343"/>
    <w:rsid w:val="003A776E"/>
    <w:rsid w:val="003B02A0"/>
    <w:rsid w:val="003B0D04"/>
    <w:rsid w:val="003B1375"/>
    <w:rsid w:val="003B1FD5"/>
    <w:rsid w:val="003B27BE"/>
    <w:rsid w:val="003B45BE"/>
    <w:rsid w:val="003B4789"/>
    <w:rsid w:val="003B4E6E"/>
    <w:rsid w:val="003B5592"/>
    <w:rsid w:val="003B59C5"/>
    <w:rsid w:val="003B69B5"/>
    <w:rsid w:val="003B6DA5"/>
    <w:rsid w:val="003B7BF6"/>
    <w:rsid w:val="003C229A"/>
    <w:rsid w:val="003C2FBB"/>
    <w:rsid w:val="003C3B6C"/>
    <w:rsid w:val="003C3D6D"/>
    <w:rsid w:val="003C44C9"/>
    <w:rsid w:val="003C4A41"/>
    <w:rsid w:val="003C5487"/>
    <w:rsid w:val="003C5B75"/>
    <w:rsid w:val="003C6ABC"/>
    <w:rsid w:val="003D0144"/>
    <w:rsid w:val="003D01E3"/>
    <w:rsid w:val="003D202B"/>
    <w:rsid w:val="003D27CB"/>
    <w:rsid w:val="003D43D7"/>
    <w:rsid w:val="003D4D55"/>
    <w:rsid w:val="003D4D63"/>
    <w:rsid w:val="003D539F"/>
    <w:rsid w:val="003D5DDE"/>
    <w:rsid w:val="003D69E9"/>
    <w:rsid w:val="003D7FB3"/>
    <w:rsid w:val="003E1120"/>
    <w:rsid w:val="003E24BA"/>
    <w:rsid w:val="003E44F1"/>
    <w:rsid w:val="003E485C"/>
    <w:rsid w:val="003E58EB"/>
    <w:rsid w:val="003E68C1"/>
    <w:rsid w:val="003E6DF0"/>
    <w:rsid w:val="003F25B0"/>
    <w:rsid w:val="003F3AC5"/>
    <w:rsid w:val="003F50DC"/>
    <w:rsid w:val="003F59E6"/>
    <w:rsid w:val="003F675D"/>
    <w:rsid w:val="003F723A"/>
    <w:rsid w:val="003F7F96"/>
    <w:rsid w:val="004015BC"/>
    <w:rsid w:val="00404661"/>
    <w:rsid w:val="00404DF0"/>
    <w:rsid w:val="004055AF"/>
    <w:rsid w:val="004073D5"/>
    <w:rsid w:val="00410798"/>
    <w:rsid w:val="00411548"/>
    <w:rsid w:val="004118BE"/>
    <w:rsid w:val="00412456"/>
    <w:rsid w:val="004130F3"/>
    <w:rsid w:val="00416E73"/>
    <w:rsid w:val="004173BE"/>
    <w:rsid w:val="004222A7"/>
    <w:rsid w:val="00422F39"/>
    <w:rsid w:val="00425A9D"/>
    <w:rsid w:val="004261D4"/>
    <w:rsid w:val="00426714"/>
    <w:rsid w:val="00427265"/>
    <w:rsid w:val="004273C3"/>
    <w:rsid w:val="00427A0B"/>
    <w:rsid w:val="00430389"/>
    <w:rsid w:val="00430783"/>
    <w:rsid w:val="00430C1C"/>
    <w:rsid w:val="004312B6"/>
    <w:rsid w:val="004316CA"/>
    <w:rsid w:val="00431BB1"/>
    <w:rsid w:val="0043254C"/>
    <w:rsid w:val="0043305A"/>
    <w:rsid w:val="00433147"/>
    <w:rsid w:val="00437A96"/>
    <w:rsid w:val="0044142A"/>
    <w:rsid w:val="004417D4"/>
    <w:rsid w:val="00443AF5"/>
    <w:rsid w:val="00444672"/>
    <w:rsid w:val="00446163"/>
    <w:rsid w:val="0045017E"/>
    <w:rsid w:val="00450223"/>
    <w:rsid w:val="00452132"/>
    <w:rsid w:val="0045227F"/>
    <w:rsid w:val="00452CDF"/>
    <w:rsid w:val="00453BA4"/>
    <w:rsid w:val="0045449E"/>
    <w:rsid w:val="00455390"/>
    <w:rsid w:val="00455A37"/>
    <w:rsid w:val="00455BD6"/>
    <w:rsid w:val="004606E4"/>
    <w:rsid w:val="00462A78"/>
    <w:rsid w:val="00464F34"/>
    <w:rsid w:val="004654A2"/>
    <w:rsid w:val="00466630"/>
    <w:rsid w:val="00467E94"/>
    <w:rsid w:val="0047003E"/>
    <w:rsid w:val="00470661"/>
    <w:rsid w:val="00471465"/>
    <w:rsid w:val="0047241E"/>
    <w:rsid w:val="00472770"/>
    <w:rsid w:val="004751C3"/>
    <w:rsid w:val="0047587F"/>
    <w:rsid w:val="00477A0A"/>
    <w:rsid w:val="004802D0"/>
    <w:rsid w:val="00480F3C"/>
    <w:rsid w:val="004813DF"/>
    <w:rsid w:val="00484E98"/>
    <w:rsid w:val="004854A0"/>
    <w:rsid w:val="004866E3"/>
    <w:rsid w:val="00487412"/>
    <w:rsid w:val="004878C2"/>
    <w:rsid w:val="00492AAA"/>
    <w:rsid w:val="00492E9E"/>
    <w:rsid w:val="004943ED"/>
    <w:rsid w:val="00496D43"/>
    <w:rsid w:val="004974ED"/>
    <w:rsid w:val="004A0114"/>
    <w:rsid w:val="004A0F70"/>
    <w:rsid w:val="004A16D6"/>
    <w:rsid w:val="004A44F7"/>
    <w:rsid w:val="004A4C50"/>
    <w:rsid w:val="004A5373"/>
    <w:rsid w:val="004A6668"/>
    <w:rsid w:val="004B386A"/>
    <w:rsid w:val="004B3E1A"/>
    <w:rsid w:val="004B5E4A"/>
    <w:rsid w:val="004B63DE"/>
    <w:rsid w:val="004C016A"/>
    <w:rsid w:val="004C07F7"/>
    <w:rsid w:val="004C10D3"/>
    <w:rsid w:val="004C2463"/>
    <w:rsid w:val="004C3855"/>
    <w:rsid w:val="004C39A9"/>
    <w:rsid w:val="004C4272"/>
    <w:rsid w:val="004C5B44"/>
    <w:rsid w:val="004C672D"/>
    <w:rsid w:val="004C7BE8"/>
    <w:rsid w:val="004D36D4"/>
    <w:rsid w:val="004D483F"/>
    <w:rsid w:val="004D4DA8"/>
    <w:rsid w:val="004D5339"/>
    <w:rsid w:val="004D7CFB"/>
    <w:rsid w:val="004E0B0D"/>
    <w:rsid w:val="004E14F1"/>
    <w:rsid w:val="004E16C1"/>
    <w:rsid w:val="004E1EF5"/>
    <w:rsid w:val="004E3C80"/>
    <w:rsid w:val="004E5E86"/>
    <w:rsid w:val="004E697A"/>
    <w:rsid w:val="004E69D7"/>
    <w:rsid w:val="004F0A2D"/>
    <w:rsid w:val="004F10AA"/>
    <w:rsid w:val="004F1B8B"/>
    <w:rsid w:val="004F2217"/>
    <w:rsid w:val="004F3B9D"/>
    <w:rsid w:val="004F4728"/>
    <w:rsid w:val="004F4EDC"/>
    <w:rsid w:val="004F5FD2"/>
    <w:rsid w:val="004F616F"/>
    <w:rsid w:val="004F7217"/>
    <w:rsid w:val="004F75BF"/>
    <w:rsid w:val="005011C1"/>
    <w:rsid w:val="00501D49"/>
    <w:rsid w:val="005079F6"/>
    <w:rsid w:val="005118ED"/>
    <w:rsid w:val="005124E2"/>
    <w:rsid w:val="00513A5F"/>
    <w:rsid w:val="00514861"/>
    <w:rsid w:val="00515A90"/>
    <w:rsid w:val="00515E4C"/>
    <w:rsid w:val="005162C8"/>
    <w:rsid w:val="0051779C"/>
    <w:rsid w:val="00517C4D"/>
    <w:rsid w:val="0052028C"/>
    <w:rsid w:val="00521395"/>
    <w:rsid w:val="00521638"/>
    <w:rsid w:val="00521EF2"/>
    <w:rsid w:val="00524398"/>
    <w:rsid w:val="005248CF"/>
    <w:rsid w:val="00524C61"/>
    <w:rsid w:val="0052557F"/>
    <w:rsid w:val="005256C6"/>
    <w:rsid w:val="00525F16"/>
    <w:rsid w:val="00530081"/>
    <w:rsid w:val="00530310"/>
    <w:rsid w:val="00532A5A"/>
    <w:rsid w:val="005330A8"/>
    <w:rsid w:val="00533192"/>
    <w:rsid w:val="005366C8"/>
    <w:rsid w:val="00536729"/>
    <w:rsid w:val="00537987"/>
    <w:rsid w:val="005411EA"/>
    <w:rsid w:val="00541CE1"/>
    <w:rsid w:val="0054203C"/>
    <w:rsid w:val="0054330F"/>
    <w:rsid w:val="00545818"/>
    <w:rsid w:val="0054591B"/>
    <w:rsid w:val="00545D09"/>
    <w:rsid w:val="00546162"/>
    <w:rsid w:val="005506EC"/>
    <w:rsid w:val="00551033"/>
    <w:rsid w:val="00551B88"/>
    <w:rsid w:val="00551CB2"/>
    <w:rsid w:val="0055277C"/>
    <w:rsid w:val="00552864"/>
    <w:rsid w:val="005537CD"/>
    <w:rsid w:val="0055445D"/>
    <w:rsid w:val="00554AA4"/>
    <w:rsid w:val="0055783A"/>
    <w:rsid w:val="00557985"/>
    <w:rsid w:val="00561A78"/>
    <w:rsid w:val="0056324D"/>
    <w:rsid w:val="0056406D"/>
    <w:rsid w:val="00565E1A"/>
    <w:rsid w:val="0056779D"/>
    <w:rsid w:val="00567BDD"/>
    <w:rsid w:val="00567F90"/>
    <w:rsid w:val="00570585"/>
    <w:rsid w:val="0057067A"/>
    <w:rsid w:val="005709F9"/>
    <w:rsid w:val="0057345B"/>
    <w:rsid w:val="005759B9"/>
    <w:rsid w:val="00576FDC"/>
    <w:rsid w:val="0057712D"/>
    <w:rsid w:val="00577894"/>
    <w:rsid w:val="00581E72"/>
    <w:rsid w:val="005836A4"/>
    <w:rsid w:val="00584504"/>
    <w:rsid w:val="00586FDE"/>
    <w:rsid w:val="00587A0D"/>
    <w:rsid w:val="00590359"/>
    <w:rsid w:val="00590695"/>
    <w:rsid w:val="005913C6"/>
    <w:rsid w:val="00591636"/>
    <w:rsid w:val="0059204B"/>
    <w:rsid w:val="00593B55"/>
    <w:rsid w:val="00594278"/>
    <w:rsid w:val="005944E6"/>
    <w:rsid w:val="00594C48"/>
    <w:rsid w:val="0059529E"/>
    <w:rsid w:val="0059608B"/>
    <w:rsid w:val="00596BC5"/>
    <w:rsid w:val="0059782B"/>
    <w:rsid w:val="005A10F9"/>
    <w:rsid w:val="005A3634"/>
    <w:rsid w:val="005A54BE"/>
    <w:rsid w:val="005A5EBA"/>
    <w:rsid w:val="005A6892"/>
    <w:rsid w:val="005A6B66"/>
    <w:rsid w:val="005B02C4"/>
    <w:rsid w:val="005B15BE"/>
    <w:rsid w:val="005B2134"/>
    <w:rsid w:val="005B2166"/>
    <w:rsid w:val="005B2B4D"/>
    <w:rsid w:val="005B40F6"/>
    <w:rsid w:val="005B55A3"/>
    <w:rsid w:val="005B58F7"/>
    <w:rsid w:val="005B5B20"/>
    <w:rsid w:val="005C0E7F"/>
    <w:rsid w:val="005C3114"/>
    <w:rsid w:val="005C4536"/>
    <w:rsid w:val="005C5912"/>
    <w:rsid w:val="005C64EA"/>
    <w:rsid w:val="005C7CDA"/>
    <w:rsid w:val="005D044A"/>
    <w:rsid w:val="005D0776"/>
    <w:rsid w:val="005D1E1C"/>
    <w:rsid w:val="005D1E1D"/>
    <w:rsid w:val="005D207D"/>
    <w:rsid w:val="005D278F"/>
    <w:rsid w:val="005D3A20"/>
    <w:rsid w:val="005D449B"/>
    <w:rsid w:val="005D4CFA"/>
    <w:rsid w:val="005D5CF2"/>
    <w:rsid w:val="005D5FA9"/>
    <w:rsid w:val="005D7A22"/>
    <w:rsid w:val="005E1D5F"/>
    <w:rsid w:val="005E2C61"/>
    <w:rsid w:val="005E2FF1"/>
    <w:rsid w:val="005E3BDC"/>
    <w:rsid w:val="005E3D50"/>
    <w:rsid w:val="005E6FDD"/>
    <w:rsid w:val="005E7096"/>
    <w:rsid w:val="005F0973"/>
    <w:rsid w:val="005F1E2C"/>
    <w:rsid w:val="005F26A7"/>
    <w:rsid w:val="005F4CDE"/>
    <w:rsid w:val="005F4ED7"/>
    <w:rsid w:val="005F5068"/>
    <w:rsid w:val="005F6390"/>
    <w:rsid w:val="005F6736"/>
    <w:rsid w:val="00600A20"/>
    <w:rsid w:val="006010B7"/>
    <w:rsid w:val="0060199F"/>
    <w:rsid w:val="00602967"/>
    <w:rsid w:val="00602D55"/>
    <w:rsid w:val="006036FC"/>
    <w:rsid w:val="00603BFE"/>
    <w:rsid w:val="006041D7"/>
    <w:rsid w:val="006046A9"/>
    <w:rsid w:val="00604EEA"/>
    <w:rsid w:val="00604F7F"/>
    <w:rsid w:val="00606052"/>
    <w:rsid w:val="00606BD8"/>
    <w:rsid w:val="006076E8"/>
    <w:rsid w:val="00611CE8"/>
    <w:rsid w:val="00614FCC"/>
    <w:rsid w:val="00620367"/>
    <w:rsid w:val="006234C7"/>
    <w:rsid w:val="00623E7C"/>
    <w:rsid w:val="006246C1"/>
    <w:rsid w:val="00624FD4"/>
    <w:rsid w:val="00625023"/>
    <w:rsid w:val="00625293"/>
    <w:rsid w:val="006256EA"/>
    <w:rsid w:val="00625FB2"/>
    <w:rsid w:val="00626165"/>
    <w:rsid w:val="00626C8D"/>
    <w:rsid w:val="00631525"/>
    <w:rsid w:val="0063255E"/>
    <w:rsid w:val="00632A9B"/>
    <w:rsid w:val="00633224"/>
    <w:rsid w:val="006345D8"/>
    <w:rsid w:val="006348B1"/>
    <w:rsid w:val="00635C88"/>
    <w:rsid w:val="006370F1"/>
    <w:rsid w:val="00637136"/>
    <w:rsid w:val="00637490"/>
    <w:rsid w:val="00640575"/>
    <w:rsid w:val="00642A4C"/>
    <w:rsid w:val="0064304E"/>
    <w:rsid w:val="00643DBC"/>
    <w:rsid w:val="00644D9A"/>
    <w:rsid w:val="006457D3"/>
    <w:rsid w:val="00645F76"/>
    <w:rsid w:val="00646CAA"/>
    <w:rsid w:val="00646E95"/>
    <w:rsid w:val="00650A0C"/>
    <w:rsid w:val="00651272"/>
    <w:rsid w:val="006515E6"/>
    <w:rsid w:val="0065668E"/>
    <w:rsid w:val="006568A8"/>
    <w:rsid w:val="0065711F"/>
    <w:rsid w:val="00657BAE"/>
    <w:rsid w:val="00657E8A"/>
    <w:rsid w:val="006601C5"/>
    <w:rsid w:val="00661B4E"/>
    <w:rsid w:val="006623C9"/>
    <w:rsid w:val="00662956"/>
    <w:rsid w:val="00662BF6"/>
    <w:rsid w:val="00662D61"/>
    <w:rsid w:val="006633D6"/>
    <w:rsid w:val="006665E4"/>
    <w:rsid w:val="006708E6"/>
    <w:rsid w:val="006708E7"/>
    <w:rsid w:val="00670992"/>
    <w:rsid w:val="00670A9B"/>
    <w:rsid w:val="0067210A"/>
    <w:rsid w:val="00673CFE"/>
    <w:rsid w:val="00675CDB"/>
    <w:rsid w:val="00676449"/>
    <w:rsid w:val="00676FB8"/>
    <w:rsid w:val="00682E48"/>
    <w:rsid w:val="0068437D"/>
    <w:rsid w:val="006845FB"/>
    <w:rsid w:val="00684C8B"/>
    <w:rsid w:val="00685C1C"/>
    <w:rsid w:val="0069280D"/>
    <w:rsid w:val="006935A4"/>
    <w:rsid w:val="00693B23"/>
    <w:rsid w:val="0069418F"/>
    <w:rsid w:val="006949ED"/>
    <w:rsid w:val="00694BAD"/>
    <w:rsid w:val="00695AFA"/>
    <w:rsid w:val="00696253"/>
    <w:rsid w:val="006A155E"/>
    <w:rsid w:val="006A23F4"/>
    <w:rsid w:val="006A331A"/>
    <w:rsid w:val="006A398E"/>
    <w:rsid w:val="006A4B33"/>
    <w:rsid w:val="006A51A0"/>
    <w:rsid w:val="006A58AB"/>
    <w:rsid w:val="006A659E"/>
    <w:rsid w:val="006A6FDC"/>
    <w:rsid w:val="006A76F5"/>
    <w:rsid w:val="006A7DBA"/>
    <w:rsid w:val="006B0C81"/>
    <w:rsid w:val="006B395C"/>
    <w:rsid w:val="006B3E80"/>
    <w:rsid w:val="006B6211"/>
    <w:rsid w:val="006B7560"/>
    <w:rsid w:val="006C31BE"/>
    <w:rsid w:val="006C3F66"/>
    <w:rsid w:val="006C4271"/>
    <w:rsid w:val="006C4A53"/>
    <w:rsid w:val="006C6384"/>
    <w:rsid w:val="006C78E0"/>
    <w:rsid w:val="006D2C7A"/>
    <w:rsid w:val="006D4544"/>
    <w:rsid w:val="006D5C08"/>
    <w:rsid w:val="006E1298"/>
    <w:rsid w:val="006E2C96"/>
    <w:rsid w:val="006E449F"/>
    <w:rsid w:val="006E4575"/>
    <w:rsid w:val="006E52D1"/>
    <w:rsid w:val="006E73D1"/>
    <w:rsid w:val="006F1FA9"/>
    <w:rsid w:val="006F324C"/>
    <w:rsid w:val="006F47FE"/>
    <w:rsid w:val="006F4E59"/>
    <w:rsid w:val="006F7583"/>
    <w:rsid w:val="006F7771"/>
    <w:rsid w:val="006F7E71"/>
    <w:rsid w:val="00701848"/>
    <w:rsid w:val="00702BC6"/>
    <w:rsid w:val="00703558"/>
    <w:rsid w:val="00703C19"/>
    <w:rsid w:val="00704562"/>
    <w:rsid w:val="0070566E"/>
    <w:rsid w:val="0070678E"/>
    <w:rsid w:val="00710256"/>
    <w:rsid w:val="0071196C"/>
    <w:rsid w:val="00711AE1"/>
    <w:rsid w:val="00712B69"/>
    <w:rsid w:val="00713190"/>
    <w:rsid w:val="007148B1"/>
    <w:rsid w:val="007165F9"/>
    <w:rsid w:val="00716606"/>
    <w:rsid w:val="00717606"/>
    <w:rsid w:val="007204E6"/>
    <w:rsid w:val="0072135F"/>
    <w:rsid w:val="00722ABB"/>
    <w:rsid w:val="007237DE"/>
    <w:rsid w:val="00723834"/>
    <w:rsid w:val="00724384"/>
    <w:rsid w:val="00725FE7"/>
    <w:rsid w:val="007260EB"/>
    <w:rsid w:val="00726419"/>
    <w:rsid w:val="00726A48"/>
    <w:rsid w:val="00727057"/>
    <w:rsid w:val="0072728A"/>
    <w:rsid w:val="00730B0F"/>
    <w:rsid w:val="007320B5"/>
    <w:rsid w:val="00732E01"/>
    <w:rsid w:val="007342D7"/>
    <w:rsid w:val="007342E2"/>
    <w:rsid w:val="00734829"/>
    <w:rsid w:val="00735F34"/>
    <w:rsid w:val="007364D3"/>
    <w:rsid w:val="007365AE"/>
    <w:rsid w:val="0073686F"/>
    <w:rsid w:val="00736EFC"/>
    <w:rsid w:val="00737305"/>
    <w:rsid w:val="00737451"/>
    <w:rsid w:val="00740A16"/>
    <w:rsid w:val="007416A6"/>
    <w:rsid w:val="00741B40"/>
    <w:rsid w:val="007433DB"/>
    <w:rsid w:val="00745DC7"/>
    <w:rsid w:val="00747816"/>
    <w:rsid w:val="007508A3"/>
    <w:rsid w:val="00751207"/>
    <w:rsid w:val="007514AD"/>
    <w:rsid w:val="00751710"/>
    <w:rsid w:val="00753532"/>
    <w:rsid w:val="00754B31"/>
    <w:rsid w:val="00754B44"/>
    <w:rsid w:val="0075750C"/>
    <w:rsid w:val="00757D60"/>
    <w:rsid w:val="00760960"/>
    <w:rsid w:val="0076291B"/>
    <w:rsid w:val="00762C67"/>
    <w:rsid w:val="00763D6E"/>
    <w:rsid w:val="00764782"/>
    <w:rsid w:val="0076585F"/>
    <w:rsid w:val="00766013"/>
    <w:rsid w:val="0076740F"/>
    <w:rsid w:val="0076767B"/>
    <w:rsid w:val="007704FC"/>
    <w:rsid w:val="007706A7"/>
    <w:rsid w:val="00770BE9"/>
    <w:rsid w:val="007715D9"/>
    <w:rsid w:val="007721A9"/>
    <w:rsid w:val="0077338D"/>
    <w:rsid w:val="007737FF"/>
    <w:rsid w:val="00774B52"/>
    <w:rsid w:val="00774CCB"/>
    <w:rsid w:val="007757ED"/>
    <w:rsid w:val="0077588A"/>
    <w:rsid w:val="0077740E"/>
    <w:rsid w:val="00780451"/>
    <w:rsid w:val="0078173C"/>
    <w:rsid w:val="0078201A"/>
    <w:rsid w:val="00783FC6"/>
    <w:rsid w:val="00786224"/>
    <w:rsid w:val="00787C62"/>
    <w:rsid w:val="007902D1"/>
    <w:rsid w:val="0079130E"/>
    <w:rsid w:val="0079367C"/>
    <w:rsid w:val="0079457B"/>
    <w:rsid w:val="00794795"/>
    <w:rsid w:val="00795C8E"/>
    <w:rsid w:val="007A4D77"/>
    <w:rsid w:val="007A6501"/>
    <w:rsid w:val="007A6EE8"/>
    <w:rsid w:val="007A6F04"/>
    <w:rsid w:val="007A74A6"/>
    <w:rsid w:val="007A799C"/>
    <w:rsid w:val="007A7CE1"/>
    <w:rsid w:val="007A7EB1"/>
    <w:rsid w:val="007B16DA"/>
    <w:rsid w:val="007B2397"/>
    <w:rsid w:val="007B3F99"/>
    <w:rsid w:val="007C10FD"/>
    <w:rsid w:val="007C1660"/>
    <w:rsid w:val="007C1F65"/>
    <w:rsid w:val="007C46F5"/>
    <w:rsid w:val="007C776E"/>
    <w:rsid w:val="007C7A89"/>
    <w:rsid w:val="007C7B26"/>
    <w:rsid w:val="007C7BA0"/>
    <w:rsid w:val="007D7B38"/>
    <w:rsid w:val="007E1346"/>
    <w:rsid w:val="007E3E0A"/>
    <w:rsid w:val="007E59AE"/>
    <w:rsid w:val="007E6576"/>
    <w:rsid w:val="007F1661"/>
    <w:rsid w:val="007F32C8"/>
    <w:rsid w:val="007F417B"/>
    <w:rsid w:val="007F52F5"/>
    <w:rsid w:val="007F5408"/>
    <w:rsid w:val="007F5BFA"/>
    <w:rsid w:val="007F7B80"/>
    <w:rsid w:val="00800AD1"/>
    <w:rsid w:val="00801000"/>
    <w:rsid w:val="008017D8"/>
    <w:rsid w:val="00803334"/>
    <w:rsid w:val="00803F0D"/>
    <w:rsid w:val="0080484E"/>
    <w:rsid w:val="008055C7"/>
    <w:rsid w:val="008060AA"/>
    <w:rsid w:val="00806289"/>
    <w:rsid w:val="00812B31"/>
    <w:rsid w:val="00812EE7"/>
    <w:rsid w:val="00813825"/>
    <w:rsid w:val="00813953"/>
    <w:rsid w:val="008140E6"/>
    <w:rsid w:val="008153D8"/>
    <w:rsid w:val="00815D1F"/>
    <w:rsid w:val="00816576"/>
    <w:rsid w:val="00816967"/>
    <w:rsid w:val="008235EC"/>
    <w:rsid w:val="008246BA"/>
    <w:rsid w:val="00824F2F"/>
    <w:rsid w:val="00825E75"/>
    <w:rsid w:val="00826395"/>
    <w:rsid w:val="00827B28"/>
    <w:rsid w:val="00833D7F"/>
    <w:rsid w:val="008354D0"/>
    <w:rsid w:val="00835A6F"/>
    <w:rsid w:val="0083640A"/>
    <w:rsid w:val="00836B6F"/>
    <w:rsid w:val="008402DB"/>
    <w:rsid w:val="008403A8"/>
    <w:rsid w:val="008427F8"/>
    <w:rsid w:val="00842A0B"/>
    <w:rsid w:val="00845E11"/>
    <w:rsid w:val="00850BFF"/>
    <w:rsid w:val="0085178C"/>
    <w:rsid w:val="00851FA5"/>
    <w:rsid w:val="00852E6F"/>
    <w:rsid w:val="00853513"/>
    <w:rsid w:val="0085420D"/>
    <w:rsid w:val="00854303"/>
    <w:rsid w:val="00854C56"/>
    <w:rsid w:val="0085645F"/>
    <w:rsid w:val="008575F9"/>
    <w:rsid w:val="00860384"/>
    <w:rsid w:val="008609B4"/>
    <w:rsid w:val="00860D14"/>
    <w:rsid w:val="00861874"/>
    <w:rsid w:val="008623CB"/>
    <w:rsid w:val="008629C0"/>
    <w:rsid w:val="00864560"/>
    <w:rsid w:val="00865883"/>
    <w:rsid w:val="0086644F"/>
    <w:rsid w:val="008678E5"/>
    <w:rsid w:val="0087076C"/>
    <w:rsid w:val="008731B1"/>
    <w:rsid w:val="00873F9F"/>
    <w:rsid w:val="00876027"/>
    <w:rsid w:val="00876BE0"/>
    <w:rsid w:val="0087709A"/>
    <w:rsid w:val="008816D0"/>
    <w:rsid w:val="0088219D"/>
    <w:rsid w:val="008824B8"/>
    <w:rsid w:val="008833EC"/>
    <w:rsid w:val="00883EC2"/>
    <w:rsid w:val="0088598C"/>
    <w:rsid w:val="00885C53"/>
    <w:rsid w:val="0088657E"/>
    <w:rsid w:val="0088705E"/>
    <w:rsid w:val="00887FE3"/>
    <w:rsid w:val="00890F70"/>
    <w:rsid w:val="008925F0"/>
    <w:rsid w:val="008942C1"/>
    <w:rsid w:val="0089488D"/>
    <w:rsid w:val="0089535E"/>
    <w:rsid w:val="0089544B"/>
    <w:rsid w:val="00897D8A"/>
    <w:rsid w:val="008A3478"/>
    <w:rsid w:val="008A38A6"/>
    <w:rsid w:val="008A4D5A"/>
    <w:rsid w:val="008A62E8"/>
    <w:rsid w:val="008A65E8"/>
    <w:rsid w:val="008A662E"/>
    <w:rsid w:val="008B1107"/>
    <w:rsid w:val="008B1531"/>
    <w:rsid w:val="008B1A23"/>
    <w:rsid w:val="008B1E51"/>
    <w:rsid w:val="008B33BF"/>
    <w:rsid w:val="008B3814"/>
    <w:rsid w:val="008B4492"/>
    <w:rsid w:val="008B4EC3"/>
    <w:rsid w:val="008B6380"/>
    <w:rsid w:val="008C0C4D"/>
    <w:rsid w:val="008C0F5B"/>
    <w:rsid w:val="008C2CBF"/>
    <w:rsid w:val="008C3B11"/>
    <w:rsid w:val="008C3F7A"/>
    <w:rsid w:val="008C4611"/>
    <w:rsid w:val="008C466E"/>
    <w:rsid w:val="008C55A6"/>
    <w:rsid w:val="008C5A40"/>
    <w:rsid w:val="008C602C"/>
    <w:rsid w:val="008C6A36"/>
    <w:rsid w:val="008C7672"/>
    <w:rsid w:val="008C7A23"/>
    <w:rsid w:val="008D2C91"/>
    <w:rsid w:val="008D45E4"/>
    <w:rsid w:val="008D4EC2"/>
    <w:rsid w:val="008D5081"/>
    <w:rsid w:val="008D53D7"/>
    <w:rsid w:val="008D61A8"/>
    <w:rsid w:val="008D66AE"/>
    <w:rsid w:val="008E1660"/>
    <w:rsid w:val="008E1690"/>
    <w:rsid w:val="008E259A"/>
    <w:rsid w:val="008E3846"/>
    <w:rsid w:val="008E3962"/>
    <w:rsid w:val="008E4131"/>
    <w:rsid w:val="008E4357"/>
    <w:rsid w:val="008E5056"/>
    <w:rsid w:val="008E5C61"/>
    <w:rsid w:val="008F05F3"/>
    <w:rsid w:val="008F1D1E"/>
    <w:rsid w:val="008F1E92"/>
    <w:rsid w:val="008F226B"/>
    <w:rsid w:val="008F2360"/>
    <w:rsid w:val="008F4490"/>
    <w:rsid w:val="008F4855"/>
    <w:rsid w:val="008F4C25"/>
    <w:rsid w:val="008F62BB"/>
    <w:rsid w:val="008F78B8"/>
    <w:rsid w:val="008F7D75"/>
    <w:rsid w:val="00900469"/>
    <w:rsid w:val="00900641"/>
    <w:rsid w:val="0090227B"/>
    <w:rsid w:val="00902F60"/>
    <w:rsid w:val="0090414E"/>
    <w:rsid w:val="00910661"/>
    <w:rsid w:val="00910C5B"/>
    <w:rsid w:val="009128E6"/>
    <w:rsid w:val="00912E0B"/>
    <w:rsid w:val="00914620"/>
    <w:rsid w:val="00914EE0"/>
    <w:rsid w:val="0091571A"/>
    <w:rsid w:val="0091699B"/>
    <w:rsid w:val="00916B4B"/>
    <w:rsid w:val="00917711"/>
    <w:rsid w:val="00920F18"/>
    <w:rsid w:val="00923FB9"/>
    <w:rsid w:val="00924611"/>
    <w:rsid w:val="00924BA2"/>
    <w:rsid w:val="00925D98"/>
    <w:rsid w:val="00926F41"/>
    <w:rsid w:val="0093147F"/>
    <w:rsid w:val="009323ED"/>
    <w:rsid w:val="00934181"/>
    <w:rsid w:val="00934306"/>
    <w:rsid w:val="0093538E"/>
    <w:rsid w:val="00935B0D"/>
    <w:rsid w:val="00935E61"/>
    <w:rsid w:val="0093625C"/>
    <w:rsid w:val="00940DF3"/>
    <w:rsid w:val="009419F7"/>
    <w:rsid w:val="00941C1C"/>
    <w:rsid w:val="00942B29"/>
    <w:rsid w:val="00943D7B"/>
    <w:rsid w:val="009440E1"/>
    <w:rsid w:val="0094417F"/>
    <w:rsid w:val="00946A12"/>
    <w:rsid w:val="00947434"/>
    <w:rsid w:val="009500BC"/>
    <w:rsid w:val="00950422"/>
    <w:rsid w:val="00951198"/>
    <w:rsid w:val="00951AB1"/>
    <w:rsid w:val="00951BF1"/>
    <w:rsid w:val="0095208F"/>
    <w:rsid w:val="00952CC3"/>
    <w:rsid w:val="009532E9"/>
    <w:rsid w:val="00953F44"/>
    <w:rsid w:val="009543C6"/>
    <w:rsid w:val="00957DD5"/>
    <w:rsid w:val="0096024F"/>
    <w:rsid w:val="0096047D"/>
    <w:rsid w:val="009609F1"/>
    <w:rsid w:val="00961D5B"/>
    <w:rsid w:val="009624AE"/>
    <w:rsid w:val="00962725"/>
    <w:rsid w:val="00962BDF"/>
    <w:rsid w:val="00963822"/>
    <w:rsid w:val="00964378"/>
    <w:rsid w:val="00966378"/>
    <w:rsid w:val="00966E6D"/>
    <w:rsid w:val="0096768B"/>
    <w:rsid w:val="00970F79"/>
    <w:rsid w:val="00971D82"/>
    <w:rsid w:val="009729EE"/>
    <w:rsid w:val="009741E2"/>
    <w:rsid w:val="0097425A"/>
    <w:rsid w:val="00974DED"/>
    <w:rsid w:val="009759C1"/>
    <w:rsid w:val="00977095"/>
    <w:rsid w:val="00977DA0"/>
    <w:rsid w:val="009804A1"/>
    <w:rsid w:val="00980702"/>
    <w:rsid w:val="00981DA7"/>
    <w:rsid w:val="0098573B"/>
    <w:rsid w:val="00987166"/>
    <w:rsid w:val="0098772D"/>
    <w:rsid w:val="0099191B"/>
    <w:rsid w:val="00992DCB"/>
    <w:rsid w:val="00993109"/>
    <w:rsid w:val="00993A2A"/>
    <w:rsid w:val="009940DC"/>
    <w:rsid w:val="00994D74"/>
    <w:rsid w:val="009958D3"/>
    <w:rsid w:val="00996E0F"/>
    <w:rsid w:val="00997DE7"/>
    <w:rsid w:val="009A0668"/>
    <w:rsid w:val="009A0A8D"/>
    <w:rsid w:val="009A1279"/>
    <w:rsid w:val="009A149A"/>
    <w:rsid w:val="009A15D7"/>
    <w:rsid w:val="009A20D0"/>
    <w:rsid w:val="009A3B19"/>
    <w:rsid w:val="009A3DA1"/>
    <w:rsid w:val="009A44A4"/>
    <w:rsid w:val="009A55BA"/>
    <w:rsid w:val="009A6BCA"/>
    <w:rsid w:val="009A7581"/>
    <w:rsid w:val="009B259B"/>
    <w:rsid w:val="009B2CEE"/>
    <w:rsid w:val="009B2E0A"/>
    <w:rsid w:val="009B3CBE"/>
    <w:rsid w:val="009B3E12"/>
    <w:rsid w:val="009B3F58"/>
    <w:rsid w:val="009B474B"/>
    <w:rsid w:val="009B54D8"/>
    <w:rsid w:val="009B5C10"/>
    <w:rsid w:val="009B5C56"/>
    <w:rsid w:val="009B6797"/>
    <w:rsid w:val="009C003B"/>
    <w:rsid w:val="009C045E"/>
    <w:rsid w:val="009C145E"/>
    <w:rsid w:val="009C1B78"/>
    <w:rsid w:val="009C1EAE"/>
    <w:rsid w:val="009C424A"/>
    <w:rsid w:val="009C475F"/>
    <w:rsid w:val="009C5425"/>
    <w:rsid w:val="009C58A5"/>
    <w:rsid w:val="009C590B"/>
    <w:rsid w:val="009C6BB0"/>
    <w:rsid w:val="009C79BA"/>
    <w:rsid w:val="009C7B6A"/>
    <w:rsid w:val="009D2228"/>
    <w:rsid w:val="009D3B32"/>
    <w:rsid w:val="009D3F19"/>
    <w:rsid w:val="009D5F16"/>
    <w:rsid w:val="009D7090"/>
    <w:rsid w:val="009D7B16"/>
    <w:rsid w:val="009E2718"/>
    <w:rsid w:val="009E30D8"/>
    <w:rsid w:val="009E38D5"/>
    <w:rsid w:val="009F4360"/>
    <w:rsid w:val="009F61CA"/>
    <w:rsid w:val="009F621E"/>
    <w:rsid w:val="009F62DD"/>
    <w:rsid w:val="009F63C0"/>
    <w:rsid w:val="009F6EF5"/>
    <w:rsid w:val="00A0117A"/>
    <w:rsid w:val="00A02678"/>
    <w:rsid w:val="00A02FDE"/>
    <w:rsid w:val="00A0624B"/>
    <w:rsid w:val="00A10E19"/>
    <w:rsid w:val="00A130E2"/>
    <w:rsid w:val="00A134DF"/>
    <w:rsid w:val="00A17690"/>
    <w:rsid w:val="00A2013A"/>
    <w:rsid w:val="00A20524"/>
    <w:rsid w:val="00A205FD"/>
    <w:rsid w:val="00A20E6F"/>
    <w:rsid w:val="00A2116D"/>
    <w:rsid w:val="00A2350A"/>
    <w:rsid w:val="00A246A6"/>
    <w:rsid w:val="00A24C98"/>
    <w:rsid w:val="00A24DAE"/>
    <w:rsid w:val="00A24F7C"/>
    <w:rsid w:val="00A2508E"/>
    <w:rsid w:val="00A318A3"/>
    <w:rsid w:val="00A31AB7"/>
    <w:rsid w:val="00A32153"/>
    <w:rsid w:val="00A327EB"/>
    <w:rsid w:val="00A33853"/>
    <w:rsid w:val="00A34B16"/>
    <w:rsid w:val="00A374DC"/>
    <w:rsid w:val="00A41265"/>
    <w:rsid w:val="00A41628"/>
    <w:rsid w:val="00A416B9"/>
    <w:rsid w:val="00A41CBD"/>
    <w:rsid w:val="00A42465"/>
    <w:rsid w:val="00A425BF"/>
    <w:rsid w:val="00A4363C"/>
    <w:rsid w:val="00A43C98"/>
    <w:rsid w:val="00A4464F"/>
    <w:rsid w:val="00A451E2"/>
    <w:rsid w:val="00A521D5"/>
    <w:rsid w:val="00A53158"/>
    <w:rsid w:val="00A54588"/>
    <w:rsid w:val="00A54D6E"/>
    <w:rsid w:val="00A56B2B"/>
    <w:rsid w:val="00A5781C"/>
    <w:rsid w:val="00A60155"/>
    <w:rsid w:val="00A60787"/>
    <w:rsid w:val="00A6272E"/>
    <w:rsid w:val="00A62869"/>
    <w:rsid w:val="00A650CD"/>
    <w:rsid w:val="00A662D8"/>
    <w:rsid w:val="00A677DE"/>
    <w:rsid w:val="00A70338"/>
    <w:rsid w:val="00A70DD6"/>
    <w:rsid w:val="00A71495"/>
    <w:rsid w:val="00A723C2"/>
    <w:rsid w:val="00A72789"/>
    <w:rsid w:val="00A72F35"/>
    <w:rsid w:val="00A74486"/>
    <w:rsid w:val="00A74983"/>
    <w:rsid w:val="00A823A3"/>
    <w:rsid w:val="00A82AF5"/>
    <w:rsid w:val="00A843AA"/>
    <w:rsid w:val="00A861DD"/>
    <w:rsid w:val="00A92252"/>
    <w:rsid w:val="00A955D2"/>
    <w:rsid w:val="00AA023A"/>
    <w:rsid w:val="00AA080C"/>
    <w:rsid w:val="00AA48F0"/>
    <w:rsid w:val="00AA5FA3"/>
    <w:rsid w:val="00AB09E0"/>
    <w:rsid w:val="00AB0BAD"/>
    <w:rsid w:val="00AB1B4E"/>
    <w:rsid w:val="00AB5E5E"/>
    <w:rsid w:val="00AB67C1"/>
    <w:rsid w:val="00AB6C28"/>
    <w:rsid w:val="00AB7BC6"/>
    <w:rsid w:val="00AB7F56"/>
    <w:rsid w:val="00AC166A"/>
    <w:rsid w:val="00AC4115"/>
    <w:rsid w:val="00AC4AAF"/>
    <w:rsid w:val="00AC59A9"/>
    <w:rsid w:val="00AC7721"/>
    <w:rsid w:val="00AD1864"/>
    <w:rsid w:val="00AD1CDE"/>
    <w:rsid w:val="00AD3C49"/>
    <w:rsid w:val="00AD3DA7"/>
    <w:rsid w:val="00AD4949"/>
    <w:rsid w:val="00AD731F"/>
    <w:rsid w:val="00AE0BF6"/>
    <w:rsid w:val="00AE2EEC"/>
    <w:rsid w:val="00AE48AD"/>
    <w:rsid w:val="00AE6A32"/>
    <w:rsid w:val="00AE7DB8"/>
    <w:rsid w:val="00AF1510"/>
    <w:rsid w:val="00AF2E1C"/>
    <w:rsid w:val="00AF330B"/>
    <w:rsid w:val="00AF439C"/>
    <w:rsid w:val="00AF46B1"/>
    <w:rsid w:val="00AF49C4"/>
    <w:rsid w:val="00AF4DC8"/>
    <w:rsid w:val="00AF61BB"/>
    <w:rsid w:val="00AF6AE0"/>
    <w:rsid w:val="00AF7254"/>
    <w:rsid w:val="00AF7E6F"/>
    <w:rsid w:val="00B006C3"/>
    <w:rsid w:val="00B006D8"/>
    <w:rsid w:val="00B00A86"/>
    <w:rsid w:val="00B00DA2"/>
    <w:rsid w:val="00B0123B"/>
    <w:rsid w:val="00B02E23"/>
    <w:rsid w:val="00B03FFB"/>
    <w:rsid w:val="00B04846"/>
    <w:rsid w:val="00B057A5"/>
    <w:rsid w:val="00B0642D"/>
    <w:rsid w:val="00B06AB4"/>
    <w:rsid w:val="00B06C41"/>
    <w:rsid w:val="00B10056"/>
    <w:rsid w:val="00B10AFE"/>
    <w:rsid w:val="00B11C20"/>
    <w:rsid w:val="00B1216C"/>
    <w:rsid w:val="00B12209"/>
    <w:rsid w:val="00B20E5D"/>
    <w:rsid w:val="00B21C94"/>
    <w:rsid w:val="00B21D28"/>
    <w:rsid w:val="00B21E40"/>
    <w:rsid w:val="00B21FAE"/>
    <w:rsid w:val="00B2275C"/>
    <w:rsid w:val="00B2622C"/>
    <w:rsid w:val="00B3095B"/>
    <w:rsid w:val="00B31602"/>
    <w:rsid w:val="00B328AC"/>
    <w:rsid w:val="00B33519"/>
    <w:rsid w:val="00B34C5D"/>
    <w:rsid w:val="00B359DF"/>
    <w:rsid w:val="00B41960"/>
    <w:rsid w:val="00B42044"/>
    <w:rsid w:val="00B432B7"/>
    <w:rsid w:val="00B4362D"/>
    <w:rsid w:val="00B438E2"/>
    <w:rsid w:val="00B4394F"/>
    <w:rsid w:val="00B4601C"/>
    <w:rsid w:val="00B474A6"/>
    <w:rsid w:val="00B47AA8"/>
    <w:rsid w:val="00B51FA0"/>
    <w:rsid w:val="00B521DC"/>
    <w:rsid w:val="00B529E5"/>
    <w:rsid w:val="00B54339"/>
    <w:rsid w:val="00B54346"/>
    <w:rsid w:val="00B555AB"/>
    <w:rsid w:val="00B556F1"/>
    <w:rsid w:val="00B55B49"/>
    <w:rsid w:val="00B55FBE"/>
    <w:rsid w:val="00B561F5"/>
    <w:rsid w:val="00B574FA"/>
    <w:rsid w:val="00B57DEA"/>
    <w:rsid w:val="00B613D5"/>
    <w:rsid w:val="00B635E5"/>
    <w:rsid w:val="00B665BF"/>
    <w:rsid w:val="00B67B29"/>
    <w:rsid w:val="00B7185C"/>
    <w:rsid w:val="00B71B49"/>
    <w:rsid w:val="00B71FAA"/>
    <w:rsid w:val="00B72BB1"/>
    <w:rsid w:val="00B74709"/>
    <w:rsid w:val="00B74B10"/>
    <w:rsid w:val="00B75204"/>
    <w:rsid w:val="00B7533A"/>
    <w:rsid w:val="00B75DB9"/>
    <w:rsid w:val="00B808F6"/>
    <w:rsid w:val="00B80C20"/>
    <w:rsid w:val="00B82F72"/>
    <w:rsid w:val="00B830E2"/>
    <w:rsid w:val="00B833E2"/>
    <w:rsid w:val="00B859AA"/>
    <w:rsid w:val="00B8668D"/>
    <w:rsid w:val="00B8710B"/>
    <w:rsid w:val="00B910EB"/>
    <w:rsid w:val="00B91701"/>
    <w:rsid w:val="00B92202"/>
    <w:rsid w:val="00B9255D"/>
    <w:rsid w:val="00B93770"/>
    <w:rsid w:val="00B94354"/>
    <w:rsid w:val="00B94894"/>
    <w:rsid w:val="00B94B52"/>
    <w:rsid w:val="00B9629F"/>
    <w:rsid w:val="00B965FB"/>
    <w:rsid w:val="00B96842"/>
    <w:rsid w:val="00BA0E35"/>
    <w:rsid w:val="00BA1768"/>
    <w:rsid w:val="00BA1DEA"/>
    <w:rsid w:val="00BA23DA"/>
    <w:rsid w:val="00BA2FAB"/>
    <w:rsid w:val="00BA37A8"/>
    <w:rsid w:val="00BA3BE0"/>
    <w:rsid w:val="00BA4136"/>
    <w:rsid w:val="00BA5DC2"/>
    <w:rsid w:val="00BA681C"/>
    <w:rsid w:val="00BA6AC5"/>
    <w:rsid w:val="00BA723F"/>
    <w:rsid w:val="00BA75E2"/>
    <w:rsid w:val="00BA77BE"/>
    <w:rsid w:val="00BA7E5D"/>
    <w:rsid w:val="00BA7FFB"/>
    <w:rsid w:val="00BB0212"/>
    <w:rsid w:val="00BB1004"/>
    <w:rsid w:val="00BB1D0F"/>
    <w:rsid w:val="00BB28E8"/>
    <w:rsid w:val="00BB2BF1"/>
    <w:rsid w:val="00BB2D86"/>
    <w:rsid w:val="00BB3040"/>
    <w:rsid w:val="00BB3BF3"/>
    <w:rsid w:val="00BB3D59"/>
    <w:rsid w:val="00BB4522"/>
    <w:rsid w:val="00BB5013"/>
    <w:rsid w:val="00BB6393"/>
    <w:rsid w:val="00BB7387"/>
    <w:rsid w:val="00BC289B"/>
    <w:rsid w:val="00BC3B41"/>
    <w:rsid w:val="00BC4DE2"/>
    <w:rsid w:val="00BC53E7"/>
    <w:rsid w:val="00BC66BB"/>
    <w:rsid w:val="00BC6EB7"/>
    <w:rsid w:val="00BC6FB4"/>
    <w:rsid w:val="00BD241D"/>
    <w:rsid w:val="00BD4774"/>
    <w:rsid w:val="00BD5336"/>
    <w:rsid w:val="00BD623C"/>
    <w:rsid w:val="00BD6649"/>
    <w:rsid w:val="00BD6D3F"/>
    <w:rsid w:val="00BD6D94"/>
    <w:rsid w:val="00BD77F1"/>
    <w:rsid w:val="00BE034E"/>
    <w:rsid w:val="00BE048B"/>
    <w:rsid w:val="00BE09C3"/>
    <w:rsid w:val="00BE1A49"/>
    <w:rsid w:val="00BE2789"/>
    <w:rsid w:val="00BE30A1"/>
    <w:rsid w:val="00BE3360"/>
    <w:rsid w:val="00BE4537"/>
    <w:rsid w:val="00BE6EB6"/>
    <w:rsid w:val="00BE72AB"/>
    <w:rsid w:val="00BE7B35"/>
    <w:rsid w:val="00BF10A1"/>
    <w:rsid w:val="00BF181D"/>
    <w:rsid w:val="00BF29BB"/>
    <w:rsid w:val="00BF397D"/>
    <w:rsid w:val="00BF4321"/>
    <w:rsid w:val="00BF5CCD"/>
    <w:rsid w:val="00BF74F5"/>
    <w:rsid w:val="00BF79B4"/>
    <w:rsid w:val="00C016E4"/>
    <w:rsid w:val="00C0212C"/>
    <w:rsid w:val="00C044D8"/>
    <w:rsid w:val="00C057A0"/>
    <w:rsid w:val="00C06310"/>
    <w:rsid w:val="00C07D4E"/>
    <w:rsid w:val="00C109E2"/>
    <w:rsid w:val="00C1133B"/>
    <w:rsid w:val="00C127B8"/>
    <w:rsid w:val="00C12DAA"/>
    <w:rsid w:val="00C146BB"/>
    <w:rsid w:val="00C17CCC"/>
    <w:rsid w:val="00C201D9"/>
    <w:rsid w:val="00C20BF3"/>
    <w:rsid w:val="00C2105D"/>
    <w:rsid w:val="00C216BC"/>
    <w:rsid w:val="00C21A1F"/>
    <w:rsid w:val="00C24CB1"/>
    <w:rsid w:val="00C25939"/>
    <w:rsid w:val="00C25DB7"/>
    <w:rsid w:val="00C263B2"/>
    <w:rsid w:val="00C27F52"/>
    <w:rsid w:val="00C30917"/>
    <w:rsid w:val="00C333E3"/>
    <w:rsid w:val="00C33AA7"/>
    <w:rsid w:val="00C33D74"/>
    <w:rsid w:val="00C35064"/>
    <w:rsid w:val="00C35410"/>
    <w:rsid w:val="00C41422"/>
    <w:rsid w:val="00C428C6"/>
    <w:rsid w:val="00C43C46"/>
    <w:rsid w:val="00C476BD"/>
    <w:rsid w:val="00C502B7"/>
    <w:rsid w:val="00C5145B"/>
    <w:rsid w:val="00C52267"/>
    <w:rsid w:val="00C5358D"/>
    <w:rsid w:val="00C54EC8"/>
    <w:rsid w:val="00C57C6A"/>
    <w:rsid w:val="00C61E0E"/>
    <w:rsid w:val="00C630F6"/>
    <w:rsid w:val="00C64025"/>
    <w:rsid w:val="00C64103"/>
    <w:rsid w:val="00C66A9A"/>
    <w:rsid w:val="00C7327C"/>
    <w:rsid w:val="00C74BAB"/>
    <w:rsid w:val="00C753A4"/>
    <w:rsid w:val="00C76A6F"/>
    <w:rsid w:val="00C77C65"/>
    <w:rsid w:val="00C819E4"/>
    <w:rsid w:val="00C81A77"/>
    <w:rsid w:val="00C82CAE"/>
    <w:rsid w:val="00C82CB3"/>
    <w:rsid w:val="00C853AA"/>
    <w:rsid w:val="00C87D09"/>
    <w:rsid w:val="00C91B36"/>
    <w:rsid w:val="00C91BF0"/>
    <w:rsid w:val="00C92D85"/>
    <w:rsid w:val="00C93968"/>
    <w:rsid w:val="00C94BBB"/>
    <w:rsid w:val="00C94BF7"/>
    <w:rsid w:val="00C96834"/>
    <w:rsid w:val="00C97A52"/>
    <w:rsid w:val="00CA02A0"/>
    <w:rsid w:val="00CA0B00"/>
    <w:rsid w:val="00CA0C16"/>
    <w:rsid w:val="00CA2A7D"/>
    <w:rsid w:val="00CA4877"/>
    <w:rsid w:val="00CA4915"/>
    <w:rsid w:val="00CA5594"/>
    <w:rsid w:val="00CA5EE5"/>
    <w:rsid w:val="00CA6A4B"/>
    <w:rsid w:val="00CB135C"/>
    <w:rsid w:val="00CB2167"/>
    <w:rsid w:val="00CB272A"/>
    <w:rsid w:val="00CB349A"/>
    <w:rsid w:val="00CB6353"/>
    <w:rsid w:val="00CB6655"/>
    <w:rsid w:val="00CC195D"/>
    <w:rsid w:val="00CC2223"/>
    <w:rsid w:val="00CC2674"/>
    <w:rsid w:val="00CC2A21"/>
    <w:rsid w:val="00CC3CFF"/>
    <w:rsid w:val="00CC3FA2"/>
    <w:rsid w:val="00CC6BEC"/>
    <w:rsid w:val="00CC6BED"/>
    <w:rsid w:val="00CC771C"/>
    <w:rsid w:val="00CD11B8"/>
    <w:rsid w:val="00CD19D3"/>
    <w:rsid w:val="00CD4895"/>
    <w:rsid w:val="00CD6129"/>
    <w:rsid w:val="00CD6FA9"/>
    <w:rsid w:val="00CD7375"/>
    <w:rsid w:val="00CE06F6"/>
    <w:rsid w:val="00CE11F6"/>
    <w:rsid w:val="00CE62C7"/>
    <w:rsid w:val="00CE6B22"/>
    <w:rsid w:val="00CE7BEA"/>
    <w:rsid w:val="00CF0EC9"/>
    <w:rsid w:val="00CF1183"/>
    <w:rsid w:val="00CF207B"/>
    <w:rsid w:val="00CF2392"/>
    <w:rsid w:val="00CF2653"/>
    <w:rsid w:val="00CF2EA2"/>
    <w:rsid w:val="00CF3CEE"/>
    <w:rsid w:val="00CF4128"/>
    <w:rsid w:val="00CF4FE6"/>
    <w:rsid w:val="00CF56E7"/>
    <w:rsid w:val="00CF6692"/>
    <w:rsid w:val="00CF68D4"/>
    <w:rsid w:val="00CF7A53"/>
    <w:rsid w:val="00D01A73"/>
    <w:rsid w:val="00D04359"/>
    <w:rsid w:val="00D05856"/>
    <w:rsid w:val="00D06436"/>
    <w:rsid w:val="00D06581"/>
    <w:rsid w:val="00D068A6"/>
    <w:rsid w:val="00D06BC2"/>
    <w:rsid w:val="00D07D03"/>
    <w:rsid w:val="00D10077"/>
    <w:rsid w:val="00D101E8"/>
    <w:rsid w:val="00D1112D"/>
    <w:rsid w:val="00D11E9D"/>
    <w:rsid w:val="00D12336"/>
    <w:rsid w:val="00D12715"/>
    <w:rsid w:val="00D15173"/>
    <w:rsid w:val="00D1586E"/>
    <w:rsid w:val="00D21DF8"/>
    <w:rsid w:val="00D2222D"/>
    <w:rsid w:val="00D2328C"/>
    <w:rsid w:val="00D248B5"/>
    <w:rsid w:val="00D25570"/>
    <w:rsid w:val="00D25C20"/>
    <w:rsid w:val="00D269D7"/>
    <w:rsid w:val="00D27E94"/>
    <w:rsid w:val="00D3203B"/>
    <w:rsid w:val="00D32A60"/>
    <w:rsid w:val="00D32A74"/>
    <w:rsid w:val="00D32B92"/>
    <w:rsid w:val="00D32DF3"/>
    <w:rsid w:val="00D333C7"/>
    <w:rsid w:val="00D35C3E"/>
    <w:rsid w:val="00D360DE"/>
    <w:rsid w:val="00D37297"/>
    <w:rsid w:val="00D37312"/>
    <w:rsid w:val="00D403A9"/>
    <w:rsid w:val="00D40CC7"/>
    <w:rsid w:val="00D426F3"/>
    <w:rsid w:val="00D443B2"/>
    <w:rsid w:val="00D4468D"/>
    <w:rsid w:val="00D451A6"/>
    <w:rsid w:val="00D4547D"/>
    <w:rsid w:val="00D45E43"/>
    <w:rsid w:val="00D47429"/>
    <w:rsid w:val="00D47D81"/>
    <w:rsid w:val="00D51C20"/>
    <w:rsid w:val="00D51F91"/>
    <w:rsid w:val="00D52363"/>
    <w:rsid w:val="00D55138"/>
    <w:rsid w:val="00D56B2D"/>
    <w:rsid w:val="00D57802"/>
    <w:rsid w:val="00D57B07"/>
    <w:rsid w:val="00D600CA"/>
    <w:rsid w:val="00D62210"/>
    <w:rsid w:val="00D65509"/>
    <w:rsid w:val="00D71EF7"/>
    <w:rsid w:val="00D74AE8"/>
    <w:rsid w:val="00D75584"/>
    <w:rsid w:val="00D7615F"/>
    <w:rsid w:val="00D77466"/>
    <w:rsid w:val="00D853B1"/>
    <w:rsid w:val="00D87264"/>
    <w:rsid w:val="00D90918"/>
    <w:rsid w:val="00D9097D"/>
    <w:rsid w:val="00D9148C"/>
    <w:rsid w:val="00D924BA"/>
    <w:rsid w:val="00D93124"/>
    <w:rsid w:val="00D93AD2"/>
    <w:rsid w:val="00D93BA4"/>
    <w:rsid w:val="00D95573"/>
    <w:rsid w:val="00D95AD5"/>
    <w:rsid w:val="00D95E3B"/>
    <w:rsid w:val="00D95F4D"/>
    <w:rsid w:val="00D976C0"/>
    <w:rsid w:val="00D97EF6"/>
    <w:rsid w:val="00DA4150"/>
    <w:rsid w:val="00DA4ABA"/>
    <w:rsid w:val="00DA5FA7"/>
    <w:rsid w:val="00DA7C85"/>
    <w:rsid w:val="00DB1845"/>
    <w:rsid w:val="00DB1C91"/>
    <w:rsid w:val="00DB32CF"/>
    <w:rsid w:val="00DB33BA"/>
    <w:rsid w:val="00DB39AA"/>
    <w:rsid w:val="00DB3F78"/>
    <w:rsid w:val="00DB4BBB"/>
    <w:rsid w:val="00DB563E"/>
    <w:rsid w:val="00DB5E4E"/>
    <w:rsid w:val="00DB7570"/>
    <w:rsid w:val="00DB79AA"/>
    <w:rsid w:val="00DC0337"/>
    <w:rsid w:val="00DC101D"/>
    <w:rsid w:val="00DC111D"/>
    <w:rsid w:val="00DC197D"/>
    <w:rsid w:val="00DC25EA"/>
    <w:rsid w:val="00DC3E2F"/>
    <w:rsid w:val="00DC4443"/>
    <w:rsid w:val="00DC57EC"/>
    <w:rsid w:val="00DC67F1"/>
    <w:rsid w:val="00DD5345"/>
    <w:rsid w:val="00DD60D0"/>
    <w:rsid w:val="00DD6B03"/>
    <w:rsid w:val="00DD7C9D"/>
    <w:rsid w:val="00DE01DA"/>
    <w:rsid w:val="00DE04E9"/>
    <w:rsid w:val="00DE17F0"/>
    <w:rsid w:val="00DE2A45"/>
    <w:rsid w:val="00DE30A9"/>
    <w:rsid w:val="00DE3244"/>
    <w:rsid w:val="00DE3EAA"/>
    <w:rsid w:val="00DE6451"/>
    <w:rsid w:val="00DE7B36"/>
    <w:rsid w:val="00DF05DC"/>
    <w:rsid w:val="00DF0A9A"/>
    <w:rsid w:val="00DF1233"/>
    <w:rsid w:val="00DF3113"/>
    <w:rsid w:val="00DF31A2"/>
    <w:rsid w:val="00DF3470"/>
    <w:rsid w:val="00DF447A"/>
    <w:rsid w:val="00DF5179"/>
    <w:rsid w:val="00DF661E"/>
    <w:rsid w:val="00DF72EE"/>
    <w:rsid w:val="00E03E33"/>
    <w:rsid w:val="00E0473C"/>
    <w:rsid w:val="00E06907"/>
    <w:rsid w:val="00E07CF0"/>
    <w:rsid w:val="00E10EBF"/>
    <w:rsid w:val="00E1179C"/>
    <w:rsid w:val="00E1341E"/>
    <w:rsid w:val="00E134AF"/>
    <w:rsid w:val="00E1443F"/>
    <w:rsid w:val="00E144A9"/>
    <w:rsid w:val="00E1538F"/>
    <w:rsid w:val="00E16509"/>
    <w:rsid w:val="00E166BF"/>
    <w:rsid w:val="00E16CD4"/>
    <w:rsid w:val="00E16F3D"/>
    <w:rsid w:val="00E17E88"/>
    <w:rsid w:val="00E211E3"/>
    <w:rsid w:val="00E21327"/>
    <w:rsid w:val="00E21E29"/>
    <w:rsid w:val="00E21E48"/>
    <w:rsid w:val="00E22222"/>
    <w:rsid w:val="00E22E9A"/>
    <w:rsid w:val="00E2416C"/>
    <w:rsid w:val="00E2418B"/>
    <w:rsid w:val="00E24C20"/>
    <w:rsid w:val="00E26F11"/>
    <w:rsid w:val="00E30FA9"/>
    <w:rsid w:val="00E32D54"/>
    <w:rsid w:val="00E35CD6"/>
    <w:rsid w:val="00E40B36"/>
    <w:rsid w:val="00E4124A"/>
    <w:rsid w:val="00E43E17"/>
    <w:rsid w:val="00E443FF"/>
    <w:rsid w:val="00E446E7"/>
    <w:rsid w:val="00E448E5"/>
    <w:rsid w:val="00E45275"/>
    <w:rsid w:val="00E45D1A"/>
    <w:rsid w:val="00E47083"/>
    <w:rsid w:val="00E47084"/>
    <w:rsid w:val="00E4795D"/>
    <w:rsid w:val="00E511AB"/>
    <w:rsid w:val="00E53C0D"/>
    <w:rsid w:val="00E53EAC"/>
    <w:rsid w:val="00E54499"/>
    <w:rsid w:val="00E54C26"/>
    <w:rsid w:val="00E55B15"/>
    <w:rsid w:val="00E60123"/>
    <w:rsid w:val="00E6018A"/>
    <w:rsid w:val="00E60758"/>
    <w:rsid w:val="00E615EE"/>
    <w:rsid w:val="00E65A65"/>
    <w:rsid w:val="00E6676C"/>
    <w:rsid w:val="00E679F0"/>
    <w:rsid w:val="00E7217A"/>
    <w:rsid w:val="00E72A88"/>
    <w:rsid w:val="00E748B9"/>
    <w:rsid w:val="00E750B3"/>
    <w:rsid w:val="00E77C6E"/>
    <w:rsid w:val="00E821F6"/>
    <w:rsid w:val="00E82F41"/>
    <w:rsid w:val="00E83BA6"/>
    <w:rsid w:val="00E83F2C"/>
    <w:rsid w:val="00E846D0"/>
    <w:rsid w:val="00E87820"/>
    <w:rsid w:val="00E9092B"/>
    <w:rsid w:val="00E9099A"/>
    <w:rsid w:val="00E9099D"/>
    <w:rsid w:val="00E90F68"/>
    <w:rsid w:val="00E9275C"/>
    <w:rsid w:val="00E92B4E"/>
    <w:rsid w:val="00E94671"/>
    <w:rsid w:val="00E94B78"/>
    <w:rsid w:val="00E95EC1"/>
    <w:rsid w:val="00E96BAA"/>
    <w:rsid w:val="00E97675"/>
    <w:rsid w:val="00EA04C1"/>
    <w:rsid w:val="00EA1D06"/>
    <w:rsid w:val="00EA2F26"/>
    <w:rsid w:val="00EA3133"/>
    <w:rsid w:val="00EA315A"/>
    <w:rsid w:val="00EA38C1"/>
    <w:rsid w:val="00EA3C71"/>
    <w:rsid w:val="00EA3F96"/>
    <w:rsid w:val="00EA601F"/>
    <w:rsid w:val="00EA6112"/>
    <w:rsid w:val="00EA6B23"/>
    <w:rsid w:val="00EA6C0E"/>
    <w:rsid w:val="00EA72C7"/>
    <w:rsid w:val="00EA7546"/>
    <w:rsid w:val="00EA7D97"/>
    <w:rsid w:val="00EB24E7"/>
    <w:rsid w:val="00EB303C"/>
    <w:rsid w:val="00EB369C"/>
    <w:rsid w:val="00EB38FD"/>
    <w:rsid w:val="00EB3E44"/>
    <w:rsid w:val="00EB5AB9"/>
    <w:rsid w:val="00EB6652"/>
    <w:rsid w:val="00EB6CC5"/>
    <w:rsid w:val="00EC0535"/>
    <w:rsid w:val="00EC15A8"/>
    <w:rsid w:val="00ED0E71"/>
    <w:rsid w:val="00ED14CE"/>
    <w:rsid w:val="00ED1A18"/>
    <w:rsid w:val="00ED5B4B"/>
    <w:rsid w:val="00ED5F61"/>
    <w:rsid w:val="00ED6126"/>
    <w:rsid w:val="00EE06FA"/>
    <w:rsid w:val="00EE0D52"/>
    <w:rsid w:val="00EE1950"/>
    <w:rsid w:val="00EE2547"/>
    <w:rsid w:val="00EE3891"/>
    <w:rsid w:val="00EE3A14"/>
    <w:rsid w:val="00EE43F7"/>
    <w:rsid w:val="00EE4A9E"/>
    <w:rsid w:val="00EE7116"/>
    <w:rsid w:val="00EE7990"/>
    <w:rsid w:val="00EF0F4C"/>
    <w:rsid w:val="00EF3109"/>
    <w:rsid w:val="00EF4549"/>
    <w:rsid w:val="00EF50EF"/>
    <w:rsid w:val="00EF6EA5"/>
    <w:rsid w:val="00F028BF"/>
    <w:rsid w:val="00F04F38"/>
    <w:rsid w:val="00F05734"/>
    <w:rsid w:val="00F05B8A"/>
    <w:rsid w:val="00F062DA"/>
    <w:rsid w:val="00F0653F"/>
    <w:rsid w:val="00F06812"/>
    <w:rsid w:val="00F06F72"/>
    <w:rsid w:val="00F07949"/>
    <w:rsid w:val="00F106C0"/>
    <w:rsid w:val="00F10D05"/>
    <w:rsid w:val="00F110E1"/>
    <w:rsid w:val="00F11433"/>
    <w:rsid w:val="00F11879"/>
    <w:rsid w:val="00F127E6"/>
    <w:rsid w:val="00F1460F"/>
    <w:rsid w:val="00F14AE9"/>
    <w:rsid w:val="00F157F7"/>
    <w:rsid w:val="00F15D56"/>
    <w:rsid w:val="00F17869"/>
    <w:rsid w:val="00F2096F"/>
    <w:rsid w:val="00F20FA9"/>
    <w:rsid w:val="00F22426"/>
    <w:rsid w:val="00F22515"/>
    <w:rsid w:val="00F23663"/>
    <w:rsid w:val="00F24B22"/>
    <w:rsid w:val="00F267DA"/>
    <w:rsid w:val="00F30C02"/>
    <w:rsid w:val="00F312AA"/>
    <w:rsid w:val="00F34829"/>
    <w:rsid w:val="00F3606E"/>
    <w:rsid w:val="00F3718E"/>
    <w:rsid w:val="00F42340"/>
    <w:rsid w:val="00F4330B"/>
    <w:rsid w:val="00F447FA"/>
    <w:rsid w:val="00F450D3"/>
    <w:rsid w:val="00F458A6"/>
    <w:rsid w:val="00F46BCA"/>
    <w:rsid w:val="00F47A64"/>
    <w:rsid w:val="00F5083E"/>
    <w:rsid w:val="00F51052"/>
    <w:rsid w:val="00F52E86"/>
    <w:rsid w:val="00F545C1"/>
    <w:rsid w:val="00F555C8"/>
    <w:rsid w:val="00F55B48"/>
    <w:rsid w:val="00F57065"/>
    <w:rsid w:val="00F60384"/>
    <w:rsid w:val="00F60598"/>
    <w:rsid w:val="00F61695"/>
    <w:rsid w:val="00F61D51"/>
    <w:rsid w:val="00F62E43"/>
    <w:rsid w:val="00F62FBC"/>
    <w:rsid w:val="00F638EB"/>
    <w:rsid w:val="00F6562B"/>
    <w:rsid w:val="00F65E0B"/>
    <w:rsid w:val="00F672C3"/>
    <w:rsid w:val="00F6784F"/>
    <w:rsid w:val="00F67A6F"/>
    <w:rsid w:val="00F705AA"/>
    <w:rsid w:val="00F70B6B"/>
    <w:rsid w:val="00F7171E"/>
    <w:rsid w:val="00F71F78"/>
    <w:rsid w:val="00F72F94"/>
    <w:rsid w:val="00F730A2"/>
    <w:rsid w:val="00F7313A"/>
    <w:rsid w:val="00F738A9"/>
    <w:rsid w:val="00F7401D"/>
    <w:rsid w:val="00F74D69"/>
    <w:rsid w:val="00F7748D"/>
    <w:rsid w:val="00F77F58"/>
    <w:rsid w:val="00F815CF"/>
    <w:rsid w:val="00F821DB"/>
    <w:rsid w:val="00F8271C"/>
    <w:rsid w:val="00F82D23"/>
    <w:rsid w:val="00F8325F"/>
    <w:rsid w:val="00F843C2"/>
    <w:rsid w:val="00F852D1"/>
    <w:rsid w:val="00F85770"/>
    <w:rsid w:val="00F85865"/>
    <w:rsid w:val="00F859C3"/>
    <w:rsid w:val="00F86CC0"/>
    <w:rsid w:val="00F92FDE"/>
    <w:rsid w:val="00F942D1"/>
    <w:rsid w:val="00F94DD5"/>
    <w:rsid w:val="00F95368"/>
    <w:rsid w:val="00F95BE9"/>
    <w:rsid w:val="00F96EC7"/>
    <w:rsid w:val="00FA1AE4"/>
    <w:rsid w:val="00FA326F"/>
    <w:rsid w:val="00FA41B2"/>
    <w:rsid w:val="00FA5A71"/>
    <w:rsid w:val="00FB06A3"/>
    <w:rsid w:val="00FB0CE1"/>
    <w:rsid w:val="00FB0D8E"/>
    <w:rsid w:val="00FB6174"/>
    <w:rsid w:val="00FB71F2"/>
    <w:rsid w:val="00FB742B"/>
    <w:rsid w:val="00FB7942"/>
    <w:rsid w:val="00FB7E1C"/>
    <w:rsid w:val="00FC031A"/>
    <w:rsid w:val="00FC1E92"/>
    <w:rsid w:val="00FC20FB"/>
    <w:rsid w:val="00FC31BB"/>
    <w:rsid w:val="00FC4057"/>
    <w:rsid w:val="00FC4655"/>
    <w:rsid w:val="00FC4C5B"/>
    <w:rsid w:val="00FC5AB6"/>
    <w:rsid w:val="00FC5BE4"/>
    <w:rsid w:val="00FC5D54"/>
    <w:rsid w:val="00FC615B"/>
    <w:rsid w:val="00FC6951"/>
    <w:rsid w:val="00FD07C6"/>
    <w:rsid w:val="00FD0DB4"/>
    <w:rsid w:val="00FD1C45"/>
    <w:rsid w:val="00FD27E5"/>
    <w:rsid w:val="00FD2CED"/>
    <w:rsid w:val="00FD3150"/>
    <w:rsid w:val="00FD4918"/>
    <w:rsid w:val="00FD550F"/>
    <w:rsid w:val="00FE0866"/>
    <w:rsid w:val="00FE0CF6"/>
    <w:rsid w:val="00FE1F1E"/>
    <w:rsid w:val="00FE3742"/>
    <w:rsid w:val="00FE386C"/>
    <w:rsid w:val="00FE4334"/>
    <w:rsid w:val="00FE4FF6"/>
    <w:rsid w:val="00FE531E"/>
    <w:rsid w:val="00FE68DD"/>
    <w:rsid w:val="00FF3C3C"/>
    <w:rsid w:val="00FF44A3"/>
    <w:rsid w:val="00FF4C78"/>
    <w:rsid w:val="00FF562B"/>
    <w:rsid w:val="00FF6055"/>
    <w:rsid w:val="00FF72CD"/>
    <w:rsid w:val="00FF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43361"/>
    <o:shapelayout v:ext="edit">
      <o:idmap v:ext="edit" data="1"/>
    </o:shapelayout>
  </w:shapeDefaults>
  <w:decimalSymbol w:val="."/>
  <w:listSeparator w:val=","/>
  <w15:docId w15:val="{814EF220-8BFB-4F69-B876-33B11229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57"/>
    <w:pPr>
      <w:spacing w:before="60" w:after="60"/>
    </w:pPr>
    <w:rPr>
      <w:rFonts w:ascii="Arial" w:hAnsi="Arial"/>
      <w:sz w:val="24"/>
      <w:szCs w:val="24"/>
    </w:rPr>
  </w:style>
  <w:style w:type="paragraph" w:styleId="Heading1">
    <w:name w:val="heading 1"/>
    <w:basedOn w:val="Normal"/>
    <w:next w:val="Heading2"/>
    <w:link w:val="Heading1Char"/>
    <w:uiPriority w:val="99"/>
    <w:qFormat/>
    <w:rsid w:val="009419F7"/>
    <w:pPr>
      <w:keepNext/>
      <w:spacing w:before="240"/>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9419F7"/>
    <w:pPr>
      <w:keepNext/>
      <w:spacing w:before="240"/>
      <w:outlineLvl w:val="1"/>
    </w:pPr>
    <w:rPr>
      <w:rFonts w:ascii="Cambria" w:hAnsi="Cambria"/>
      <w:b/>
      <w:bCs/>
      <w:i/>
      <w:iCs/>
      <w:sz w:val="28"/>
      <w:szCs w:val="28"/>
    </w:rPr>
  </w:style>
  <w:style w:type="paragraph" w:styleId="Heading3">
    <w:name w:val="heading 3"/>
    <w:basedOn w:val="Normal"/>
    <w:next w:val="BodyText"/>
    <w:link w:val="Heading3Char"/>
    <w:uiPriority w:val="99"/>
    <w:qFormat/>
    <w:rsid w:val="009419F7"/>
    <w:pPr>
      <w:keepNext/>
      <w:spacing w:before="240"/>
      <w:outlineLvl w:val="2"/>
    </w:pPr>
    <w:rPr>
      <w:rFonts w:ascii="Cambria" w:hAnsi="Cambria"/>
      <w:b/>
      <w:bCs/>
      <w:sz w:val="26"/>
      <w:szCs w:val="26"/>
    </w:rPr>
  </w:style>
  <w:style w:type="paragraph" w:styleId="Heading4">
    <w:name w:val="heading 4"/>
    <w:basedOn w:val="Normal"/>
    <w:next w:val="BodyText"/>
    <w:link w:val="Heading4Char"/>
    <w:uiPriority w:val="99"/>
    <w:qFormat/>
    <w:rsid w:val="009419F7"/>
    <w:pPr>
      <w:keepNext/>
      <w:spacing w:before="240"/>
      <w:outlineLvl w:val="3"/>
    </w:pPr>
    <w:rPr>
      <w:rFonts w:ascii="Calibri" w:hAnsi="Calibri"/>
      <w:b/>
      <w:bCs/>
      <w:sz w:val="28"/>
      <w:szCs w:val="28"/>
    </w:rPr>
  </w:style>
  <w:style w:type="paragraph" w:styleId="Heading5">
    <w:name w:val="heading 5"/>
    <w:basedOn w:val="Normal"/>
    <w:next w:val="BodyText"/>
    <w:link w:val="Heading5Char"/>
    <w:uiPriority w:val="99"/>
    <w:qFormat/>
    <w:rsid w:val="009419F7"/>
    <w:pPr>
      <w:spacing w:before="240"/>
      <w:outlineLvl w:val="4"/>
    </w:pPr>
    <w:rPr>
      <w:rFonts w:ascii="Calibri" w:hAnsi="Calibri"/>
      <w:b/>
      <w:bCs/>
      <w:i/>
      <w:iCs/>
      <w:sz w:val="26"/>
      <w:szCs w:val="26"/>
    </w:rPr>
  </w:style>
  <w:style w:type="paragraph" w:styleId="Heading6">
    <w:name w:val="heading 6"/>
    <w:basedOn w:val="Normal"/>
    <w:next w:val="BodyText"/>
    <w:link w:val="Heading6Char"/>
    <w:uiPriority w:val="99"/>
    <w:qFormat/>
    <w:rsid w:val="009419F7"/>
    <w:pPr>
      <w:spacing w:before="240"/>
      <w:outlineLvl w:val="5"/>
    </w:pPr>
    <w:rPr>
      <w:rFonts w:ascii="Calibri" w:hAnsi="Calibri"/>
      <w:b/>
      <w:bCs/>
      <w:sz w:val="22"/>
      <w:szCs w:val="22"/>
    </w:rPr>
  </w:style>
  <w:style w:type="paragraph" w:styleId="Heading7">
    <w:name w:val="heading 7"/>
    <w:basedOn w:val="Normal"/>
    <w:next w:val="BodyText"/>
    <w:link w:val="Heading7Char"/>
    <w:uiPriority w:val="99"/>
    <w:qFormat/>
    <w:rsid w:val="009419F7"/>
    <w:pPr>
      <w:spacing w:before="240"/>
      <w:outlineLvl w:val="6"/>
    </w:pPr>
    <w:rPr>
      <w:rFonts w:ascii="Calibri" w:hAnsi="Calibri"/>
    </w:rPr>
  </w:style>
  <w:style w:type="paragraph" w:styleId="Heading8">
    <w:name w:val="heading 8"/>
    <w:basedOn w:val="Normal"/>
    <w:next w:val="BodyText"/>
    <w:link w:val="Heading8Char"/>
    <w:uiPriority w:val="99"/>
    <w:qFormat/>
    <w:rsid w:val="009419F7"/>
    <w:pPr>
      <w:spacing w:before="240"/>
      <w:outlineLvl w:val="7"/>
    </w:pPr>
    <w:rPr>
      <w:rFonts w:ascii="Calibri" w:hAnsi="Calibri"/>
      <w:i/>
      <w:iCs/>
    </w:rPr>
  </w:style>
  <w:style w:type="paragraph" w:styleId="Heading9">
    <w:name w:val="heading 9"/>
    <w:basedOn w:val="Normal"/>
    <w:next w:val="BodyText"/>
    <w:link w:val="Heading9Char"/>
    <w:uiPriority w:val="99"/>
    <w:qFormat/>
    <w:rsid w:val="009419F7"/>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19F7"/>
    <w:pPr>
      <w:spacing w:after="260"/>
    </w:pPr>
  </w:style>
  <w:style w:type="character" w:customStyle="1" w:styleId="BodyTextChar">
    <w:name w:val="Body Text Char"/>
    <w:basedOn w:val="DefaultParagraphFont"/>
    <w:link w:val="BodyText"/>
    <w:uiPriority w:val="99"/>
    <w:locked/>
    <w:rsid w:val="00567F90"/>
    <w:rPr>
      <w:rFonts w:ascii="Arial" w:hAnsi="Arial" w:cs="Times New Roman"/>
      <w:sz w:val="24"/>
      <w:szCs w:val="24"/>
    </w:rPr>
  </w:style>
  <w:style w:type="character" w:customStyle="1" w:styleId="Heading2Char">
    <w:name w:val="Heading 2 Char"/>
    <w:basedOn w:val="DefaultParagraphFont"/>
    <w:link w:val="Heading2"/>
    <w:uiPriority w:val="99"/>
    <w:semiHidden/>
    <w:locked/>
    <w:rsid w:val="00567F90"/>
    <w:rPr>
      <w:rFonts w:ascii="Cambria" w:hAnsi="Cambria" w:cs="Times New Roman"/>
      <w:b/>
      <w:bCs/>
      <w:i/>
      <w:iCs/>
      <w:sz w:val="28"/>
      <w:szCs w:val="28"/>
    </w:rPr>
  </w:style>
  <w:style w:type="character" w:customStyle="1" w:styleId="Heading1Char">
    <w:name w:val="Heading 1 Char"/>
    <w:basedOn w:val="DefaultParagraphFont"/>
    <w:link w:val="Heading1"/>
    <w:uiPriority w:val="99"/>
    <w:locked/>
    <w:rsid w:val="00567F90"/>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567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7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7F9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7F90"/>
    <w:rPr>
      <w:rFonts w:ascii="Calibri" w:hAnsi="Calibri" w:cs="Times New Roman"/>
      <w:b/>
      <w:bCs/>
    </w:rPr>
  </w:style>
  <w:style w:type="character" w:customStyle="1" w:styleId="Heading7Char">
    <w:name w:val="Heading 7 Char"/>
    <w:basedOn w:val="DefaultParagraphFont"/>
    <w:link w:val="Heading7"/>
    <w:uiPriority w:val="99"/>
    <w:semiHidden/>
    <w:locked/>
    <w:rsid w:val="00567F9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67F9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7F90"/>
    <w:rPr>
      <w:rFonts w:ascii="Cambria" w:hAnsi="Cambria" w:cs="Times New Roman"/>
    </w:rPr>
  </w:style>
  <w:style w:type="paragraph" w:styleId="TOC1">
    <w:name w:val="toc 1"/>
    <w:basedOn w:val="Normal"/>
    <w:next w:val="Normal"/>
    <w:uiPriority w:val="99"/>
    <w:semiHidden/>
    <w:rsid w:val="009419F7"/>
    <w:pPr>
      <w:spacing w:before="120" w:after="240"/>
    </w:pPr>
  </w:style>
  <w:style w:type="character" w:styleId="Hyperlink">
    <w:name w:val="Hyperlink"/>
    <w:basedOn w:val="DefaultParagraphFont"/>
    <w:uiPriority w:val="99"/>
    <w:rsid w:val="009419F7"/>
    <w:rPr>
      <w:rFonts w:cs="Times New Roman"/>
      <w:color w:val="0000FF"/>
      <w:u w:val="single"/>
    </w:rPr>
  </w:style>
  <w:style w:type="paragraph" w:customStyle="1" w:styleId="TableText">
    <w:name w:val="Table Text"/>
    <w:basedOn w:val="Normal"/>
    <w:uiPriority w:val="99"/>
    <w:rsid w:val="009419F7"/>
    <w:pPr>
      <w:spacing w:before="120" w:after="170"/>
    </w:pPr>
  </w:style>
  <w:style w:type="paragraph" w:customStyle="1" w:styleId="TableColumnHeader">
    <w:name w:val="Table Column Header"/>
    <w:basedOn w:val="TableText"/>
    <w:uiPriority w:val="99"/>
    <w:rsid w:val="009419F7"/>
    <w:rPr>
      <w:b/>
    </w:rPr>
  </w:style>
  <w:style w:type="paragraph" w:styleId="BalloonText">
    <w:name w:val="Balloon Text"/>
    <w:basedOn w:val="Normal"/>
    <w:link w:val="BalloonTextChar"/>
    <w:uiPriority w:val="99"/>
    <w:semiHidden/>
    <w:rsid w:val="00941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7F90"/>
    <w:rPr>
      <w:rFonts w:cs="Times New Roman"/>
      <w:sz w:val="2"/>
    </w:rPr>
  </w:style>
  <w:style w:type="paragraph" w:styleId="Header">
    <w:name w:val="header"/>
    <w:basedOn w:val="Normal"/>
    <w:link w:val="HeaderChar"/>
    <w:uiPriority w:val="99"/>
    <w:rsid w:val="009419F7"/>
    <w:pPr>
      <w:tabs>
        <w:tab w:val="center" w:pos="4153"/>
        <w:tab w:val="right" w:pos="8306"/>
      </w:tabs>
    </w:pPr>
  </w:style>
  <w:style w:type="character" w:customStyle="1" w:styleId="HeaderChar">
    <w:name w:val="Header Char"/>
    <w:basedOn w:val="DefaultParagraphFont"/>
    <w:link w:val="Header"/>
    <w:uiPriority w:val="99"/>
    <w:semiHidden/>
    <w:locked/>
    <w:rsid w:val="00567F90"/>
    <w:rPr>
      <w:rFonts w:ascii="Arial" w:hAnsi="Arial" w:cs="Times New Roman"/>
      <w:sz w:val="24"/>
      <w:szCs w:val="24"/>
    </w:rPr>
  </w:style>
  <w:style w:type="paragraph" w:styleId="Footer">
    <w:name w:val="footer"/>
    <w:basedOn w:val="Normal"/>
    <w:link w:val="FooterChar"/>
    <w:uiPriority w:val="99"/>
    <w:rsid w:val="009419F7"/>
    <w:pPr>
      <w:tabs>
        <w:tab w:val="center" w:pos="4153"/>
        <w:tab w:val="right" w:pos="8306"/>
      </w:tabs>
    </w:pPr>
  </w:style>
  <w:style w:type="character" w:customStyle="1" w:styleId="FooterChar">
    <w:name w:val="Footer Char"/>
    <w:basedOn w:val="DefaultParagraphFont"/>
    <w:link w:val="Footer"/>
    <w:uiPriority w:val="99"/>
    <w:semiHidden/>
    <w:locked/>
    <w:rsid w:val="00567F90"/>
    <w:rPr>
      <w:rFonts w:ascii="Arial" w:hAnsi="Arial" w:cs="Times New Roman"/>
      <w:sz w:val="24"/>
      <w:szCs w:val="24"/>
    </w:rPr>
  </w:style>
  <w:style w:type="table" w:styleId="TableGrid">
    <w:name w:val="Table Grid"/>
    <w:basedOn w:val="TableNormal"/>
    <w:uiPriority w:val="99"/>
    <w:rsid w:val="009419F7"/>
    <w:pPr>
      <w:spacing w:line="26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419F7"/>
    <w:rPr>
      <w:rFonts w:cs="Times New Roman"/>
    </w:rPr>
  </w:style>
  <w:style w:type="paragraph" w:customStyle="1" w:styleId="Bodyindent">
    <w:name w:val="Body indent"/>
    <w:basedOn w:val="Normal"/>
    <w:uiPriority w:val="99"/>
    <w:rsid w:val="009419F7"/>
    <w:pPr>
      <w:widowControl w:val="0"/>
      <w:spacing w:before="140" w:line="290" w:lineRule="atLeast"/>
      <w:ind w:left="680"/>
    </w:pPr>
    <w:rPr>
      <w:rFonts w:ascii="Sabon" w:hAnsi="Sabon"/>
      <w:color w:val="000000"/>
      <w:sz w:val="21"/>
      <w:lang w:val="en-US"/>
    </w:rPr>
  </w:style>
  <w:style w:type="paragraph" w:styleId="FootnoteText">
    <w:name w:val="footnote text"/>
    <w:basedOn w:val="Normal"/>
    <w:link w:val="FootnoteTextChar"/>
    <w:uiPriority w:val="99"/>
    <w:semiHidden/>
    <w:rsid w:val="009419F7"/>
  </w:style>
  <w:style w:type="character" w:customStyle="1" w:styleId="FootnoteTextChar">
    <w:name w:val="Footnote Text Char"/>
    <w:basedOn w:val="DefaultParagraphFont"/>
    <w:link w:val="FootnoteText"/>
    <w:uiPriority w:val="99"/>
    <w:semiHidden/>
    <w:locked/>
    <w:rsid w:val="00567F90"/>
    <w:rPr>
      <w:rFonts w:ascii="Arial" w:hAnsi="Arial" w:cs="Times New Roman"/>
      <w:sz w:val="20"/>
      <w:szCs w:val="20"/>
    </w:rPr>
  </w:style>
  <w:style w:type="character" w:styleId="FootnoteReference">
    <w:name w:val="footnote reference"/>
    <w:basedOn w:val="DefaultParagraphFont"/>
    <w:uiPriority w:val="99"/>
    <w:semiHidden/>
    <w:rsid w:val="009419F7"/>
    <w:rPr>
      <w:rFonts w:cs="Times New Roman"/>
      <w:vertAlign w:val="superscript"/>
    </w:rPr>
  </w:style>
  <w:style w:type="character" w:customStyle="1" w:styleId="EmailStyle421">
    <w:name w:val="EmailStyle421"/>
    <w:basedOn w:val="DefaultParagraphFont"/>
    <w:uiPriority w:val="99"/>
    <w:semiHidden/>
    <w:rsid w:val="009419F7"/>
    <w:rPr>
      <w:rFonts w:ascii="Arial" w:hAnsi="Arial" w:cs="Arial"/>
      <w:color w:val="auto"/>
      <w:sz w:val="20"/>
      <w:szCs w:val="20"/>
    </w:rPr>
  </w:style>
  <w:style w:type="character" w:styleId="FollowedHyperlink">
    <w:name w:val="FollowedHyperlink"/>
    <w:basedOn w:val="DefaultParagraphFont"/>
    <w:uiPriority w:val="99"/>
    <w:rsid w:val="009419F7"/>
    <w:rPr>
      <w:rFonts w:cs="Times New Roman"/>
      <w:color w:val="800080"/>
      <w:u w:val="single"/>
    </w:rPr>
  </w:style>
  <w:style w:type="paragraph" w:styleId="PlainText">
    <w:name w:val="Plain Text"/>
    <w:basedOn w:val="Normal"/>
    <w:link w:val="PlainTextChar"/>
    <w:uiPriority w:val="99"/>
    <w:rsid w:val="00353AF0"/>
    <w:rPr>
      <w:rFonts w:ascii="Courier New" w:hAnsi="Courier New" w:cs="Courier New"/>
    </w:rPr>
  </w:style>
  <w:style w:type="character" w:customStyle="1" w:styleId="PlainTextChar">
    <w:name w:val="Plain Text Char"/>
    <w:basedOn w:val="DefaultParagraphFont"/>
    <w:link w:val="PlainText"/>
    <w:uiPriority w:val="99"/>
    <w:semiHidden/>
    <w:locked/>
    <w:rsid w:val="00567F90"/>
    <w:rPr>
      <w:rFonts w:ascii="Courier New" w:hAnsi="Courier New" w:cs="Courier New"/>
      <w:sz w:val="20"/>
      <w:szCs w:val="20"/>
    </w:rPr>
  </w:style>
  <w:style w:type="paragraph" w:styleId="BodyTextIndent3">
    <w:name w:val="Body Text Indent 3"/>
    <w:basedOn w:val="Normal"/>
    <w:link w:val="BodyTextIndent3Char"/>
    <w:uiPriority w:val="99"/>
    <w:rsid w:val="002661C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7F90"/>
    <w:rPr>
      <w:rFonts w:ascii="Arial" w:hAnsi="Arial" w:cs="Times New Roman"/>
      <w:sz w:val="16"/>
      <w:szCs w:val="16"/>
    </w:rPr>
  </w:style>
  <w:style w:type="paragraph" w:customStyle="1" w:styleId="Default">
    <w:name w:val="Default"/>
    <w:rsid w:val="00B910EB"/>
    <w:pPr>
      <w:autoSpaceDE w:val="0"/>
      <w:autoSpaceDN w:val="0"/>
      <w:adjustRightInd w:val="0"/>
      <w:spacing w:before="60" w:after="60"/>
    </w:pPr>
    <w:rPr>
      <w:rFonts w:ascii="Arial" w:hAnsi="Arial" w:cs="Arial"/>
      <w:color w:val="000000"/>
      <w:sz w:val="24"/>
      <w:szCs w:val="24"/>
    </w:rPr>
  </w:style>
  <w:style w:type="character" w:styleId="CommentReference">
    <w:name w:val="annotation reference"/>
    <w:basedOn w:val="DefaultParagraphFont"/>
    <w:uiPriority w:val="99"/>
    <w:semiHidden/>
    <w:rsid w:val="00FC4057"/>
    <w:rPr>
      <w:rFonts w:cs="Times New Roman"/>
      <w:sz w:val="16"/>
      <w:szCs w:val="16"/>
    </w:rPr>
  </w:style>
  <w:style w:type="paragraph" w:styleId="CommentText">
    <w:name w:val="annotation text"/>
    <w:basedOn w:val="Normal"/>
    <w:link w:val="CommentTextChar"/>
    <w:uiPriority w:val="99"/>
    <w:semiHidden/>
    <w:rsid w:val="00FC4057"/>
  </w:style>
  <w:style w:type="character" w:customStyle="1" w:styleId="CommentTextChar">
    <w:name w:val="Comment Text Char"/>
    <w:basedOn w:val="DefaultParagraphFont"/>
    <w:link w:val="CommentText"/>
    <w:uiPriority w:val="99"/>
    <w:semiHidden/>
    <w:locked/>
    <w:rsid w:val="00567F90"/>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C4057"/>
    <w:rPr>
      <w:b/>
      <w:bCs/>
    </w:rPr>
  </w:style>
  <w:style w:type="character" w:customStyle="1" w:styleId="CommentSubjectChar">
    <w:name w:val="Comment Subject Char"/>
    <w:basedOn w:val="CommentTextChar"/>
    <w:link w:val="CommentSubject"/>
    <w:uiPriority w:val="99"/>
    <w:semiHidden/>
    <w:locked/>
    <w:rsid w:val="00567F90"/>
    <w:rPr>
      <w:rFonts w:ascii="Arial" w:hAnsi="Arial" w:cs="Times New Roman"/>
      <w:b/>
      <w:bCs/>
      <w:sz w:val="20"/>
      <w:szCs w:val="20"/>
    </w:rPr>
  </w:style>
  <w:style w:type="paragraph" w:customStyle="1" w:styleId="Italicparaheading">
    <w:name w:val="Italic para heading"/>
    <w:basedOn w:val="Normal"/>
    <w:link w:val="ItalicparaheadingChar"/>
    <w:uiPriority w:val="99"/>
    <w:rsid w:val="0069418F"/>
    <w:pPr>
      <w:spacing w:before="120" w:after="120"/>
    </w:pPr>
    <w:rPr>
      <w:b/>
      <w:i/>
    </w:rPr>
  </w:style>
  <w:style w:type="character" w:customStyle="1" w:styleId="ItalicparaheadingChar">
    <w:name w:val="Italic para heading Char"/>
    <w:basedOn w:val="DefaultParagraphFont"/>
    <w:link w:val="Italicparaheading"/>
    <w:uiPriority w:val="99"/>
    <w:locked/>
    <w:rsid w:val="0069418F"/>
    <w:rPr>
      <w:rFonts w:ascii="Arial" w:hAnsi="Arial" w:cs="Times New Roman"/>
      <w:b/>
      <w:i/>
      <w:sz w:val="24"/>
      <w:lang w:eastAsia="en-US"/>
    </w:rPr>
  </w:style>
  <w:style w:type="paragraph" w:customStyle="1" w:styleId="Ruthsparagraph">
    <w:name w:val="Ruth's paragraph"/>
    <w:basedOn w:val="ListParagraph"/>
    <w:link w:val="RuthsparagraphChar1"/>
    <w:uiPriority w:val="99"/>
    <w:rsid w:val="008A65E8"/>
    <w:pPr>
      <w:numPr>
        <w:ilvl w:val="1"/>
        <w:numId w:val="5"/>
      </w:numPr>
      <w:spacing w:before="120" w:after="120"/>
    </w:pPr>
  </w:style>
  <w:style w:type="paragraph" w:styleId="ListParagraph">
    <w:name w:val="List Paragraph"/>
    <w:basedOn w:val="Normal"/>
    <w:link w:val="ListParagraphChar"/>
    <w:uiPriority w:val="34"/>
    <w:qFormat/>
    <w:rsid w:val="001D2D57"/>
    <w:pPr>
      <w:numPr>
        <w:numId w:val="6"/>
      </w:numPr>
      <w:contextualSpacing/>
    </w:pPr>
  </w:style>
  <w:style w:type="character" w:customStyle="1" w:styleId="ListParagraphChar">
    <w:name w:val="List Paragraph Char"/>
    <w:basedOn w:val="DefaultParagraphFont"/>
    <w:link w:val="ListParagraph"/>
    <w:uiPriority w:val="34"/>
    <w:locked/>
    <w:rsid w:val="001D2D57"/>
    <w:rPr>
      <w:rFonts w:ascii="Arial" w:hAnsi="Arial"/>
      <w:sz w:val="24"/>
      <w:szCs w:val="24"/>
    </w:rPr>
  </w:style>
  <w:style w:type="character" w:customStyle="1" w:styleId="RuthsparagraphChar1">
    <w:name w:val="Ruth's paragraph Char1"/>
    <w:basedOn w:val="DefaultParagraphFont"/>
    <w:link w:val="Ruthsparagraph"/>
    <w:uiPriority w:val="99"/>
    <w:locked/>
    <w:rsid w:val="008A65E8"/>
    <w:rPr>
      <w:rFonts w:ascii="Arial" w:hAnsi="Arial"/>
      <w:sz w:val="24"/>
      <w:szCs w:val="24"/>
    </w:rPr>
  </w:style>
  <w:style w:type="paragraph" w:customStyle="1" w:styleId="Ruthsbulletpoint">
    <w:name w:val="Ruth's bullet point"/>
    <w:basedOn w:val="Ruthsparagraph"/>
    <w:link w:val="RuthsbulletpointChar"/>
    <w:uiPriority w:val="99"/>
    <w:rsid w:val="008A65E8"/>
    <w:pPr>
      <w:numPr>
        <w:numId w:val="4"/>
      </w:numPr>
    </w:pPr>
  </w:style>
  <w:style w:type="character" w:customStyle="1" w:styleId="RuthsbulletpointChar">
    <w:name w:val="Ruth's bullet point Char"/>
    <w:basedOn w:val="RuthsparagraphChar1"/>
    <w:link w:val="Ruthsbulletpoint"/>
    <w:uiPriority w:val="99"/>
    <w:locked/>
    <w:rsid w:val="008A65E8"/>
    <w:rPr>
      <w:rFonts w:ascii="Arial" w:hAnsi="Arial"/>
      <w:sz w:val="24"/>
      <w:szCs w:val="24"/>
    </w:rPr>
  </w:style>
  <w:style w:type="paragraph" w:customStyle="1" w:styleId="Ruthsnumberedheading">
    <w:name w:val="Ruth's numbered heading"/>
    <w:basedOn w:val="Normal"/>
    <w:link w:val="RuthsnumberedheadingChar"/>
    <w:uiPriority w:val="99"/>
    <w:rsid w:val="008A65E8"/>
    <w:pPr>
      <w:numPr>
        <w:numId w:val="5"/>
      </w:numPr>
      <w:spacing w:before="120" w:after="120"/>
    </w:pPr>
    <w:rPr>
      <w:rFonts w:cs="Arial"/>
      <w:b/>
      <w:sz w:val="28"/>
      <w:szCs w:val="28"/>
    </w:rPr>
  </w:style>
  <w:style w:type="paragraph" w:customStyle="1" w:styleId="Ruth-numberedparargraph">
    <w:name w:val="Ruth - numbered parargraph"/>
    <w:basedOn w:val="ListParagraph"/>
    <w:link w:val="Ruth-numberedparargraphChar"/>
    <w:uiPriority w:val="99"/>
    <w:rsid w:val="001D2D57"/>
    <w:pPr>
      <w:numPr>
        <w:ilvl w:val="1"/>
        <w:numId w:val="7"/>
      </w:numPr>
    </w:pPr>
    <w:rPr>
      <w:rFonts w:ascii="Calibri" w:hAnsi="Calibri" w:cs="Arial"/>
    </w:rPr>
  </w:style>
  <w:style w:type="character" w:customStyle="1" w:styleId="Ruth-numberedparargraphChar">
    <w:name w:val="Ruth - numbered parargraph Char"/>
    <w:basedOn w:val="ListParagraphChar"/>
    <w:link w:val="Ruth-numberedparargraph"/>
    <w:uiPriority w:val="99"/>
    <w:locked/>
    <w:rsid w:val="001D2D57"/>
    <w:rPr>
      <w:rFonts w:ascii="Calibri" w:hAnsi="Calibri" w:cs="Arial"/>
      <w:sz w:val="24"/>
      <w:szCs w:val="24"/>
    </w:rPr>
  </w:style>
  <w:style w:type="paragraph" w:customStyle="1" w:styleId="Ruth-paragraphblank">
    <w:name w:val="Ruth - paragraph blank"/>
    <w:basedOn w:val="Normal"/>
    <w:link w:val="Ruth-paragraphblankChar"/>
    <w:uiPriority w:val="99"/>
    <w:rsid w:val="001D2D57"/>
    <w:pPr>
      <w:spacing w:before="120" w:after="120"/>
      <w:ind w:left="709"/>
    </w:pPr>
    <w:rPr>
      <w:rFonts w:ascii="Calibri" w:hAnsi="Calibri"/>
    </w:rPr>
  </w:style>
  <w:style w:type="character" w:customStyle="1" w:styleId="Ruth-paragraphblankChar">
    <w:name w:val="Ruth - paragraph blank Char"/>
    <w:basedOn w:val="DefaultParagraphFont"/>
    <w:link w:val="Ruth-paragraphblank"/>
    <w:uiPriority w:val="99"/>
    <w:locked/>
    <w:rsid w:val="001D2D57"/>
    <w:rPr>
      <w:rFonts w:ascii="Calibri" w:hAnsi="Calibri" w:cs="Times New Roman"/>
      <w:sz w:val="24"/>
      <w:szCs w:val="24"/>
    </w:rPr>
  </w:style>
  <w:style w:type="paragraph" w:customStyle="1" w:styleId="Ruth-documenttitle">
    <w:name w:val="Ruth - document title"/>
    <w:basedOn w:val="Normal"/>
    <w:link w:val="Ruth-documenttitleChar"/>
    <w:uiPriority w:val="99"/>
    <w:rsid w:val="001D2D57"/>
    <w:pPr>
      <w:spacing w:before="120" w:after="240"/>
    </w:pPr>
    <w:rPr>
      <w:rFonts w:ascii="Calibri" w:hAnsi="Calibri"/>
      <w:b/>
      <w:sz w:val="32"/>
      <w:szCs w:val="32"/>
    </w:rPr>
  </w:style>
  <w:style w:type="character" w:customStyle="1" w:styleId="Ruth-documenttitleChar">
    <w:name w:val="Ruth - document title Char"/>
    <w:basedOn w:val="DefaultParagraphFont"/>
    <w:link w:val="Ruth-documenttitle"/>
    <w:uiPriority w:val="99"/>
    <w:locked/>
    <w:rsid w:val="001D2D57"/>
    <w:rPr>
      <w:rFonts w:ascii="Calibri" w:hAnsi="Calibri" w:cs="Times New Roman"/>
      <w:b/>
      <w:sz w:val="32"/>
      <w:szCs w:val="32"/>
    </w:rPr>
  </w:style>
  <w:style w:type="paragraph" w:customStyle="1" w:styleId="Ruth-headingnumbered">
    <w:name w:val="Ruth - heading numbered"/>
    <w:basedOn w:val="ListParagraph"/>
    <w:link w:val="Ruth-headingnumberedChar"/>
    <w:uiPriority w:val="99"/>
    <w:rsid w:val="001D2D57"/>
    <w:pPr>
      <w:numPr>
        <w:numId w:val="7"/>
      </w:numPr>
      <w:spacing w:before="240" w:after="240"/>
      <w:contextualSpacing w:val="0"/>
    </w:pPr>
    <w:rPr>
      <w:rFonts w:ascii="Calibri" w:hAnsi="Calibri"/>
      <w:b/>
      <w:sz w:val="28"/>
      <w:szCs w:val="28"/>
    </w:rPr>
  </w:style>
  <w:style w:type="character" w:customStyle="1" w:styleId="Ruth-headingnumberedChar">
    <w:name w:val="Ruth - heading numbered Char"/>
    <w:basedOn w:val="ListParagraphChar"/>
    <w:link w:val="Ruth-headingnumbered"/>
    <w:uiPriority w:val="99"/>
    <w:locked/>
    <w:rsid w:val="001D2D57"/>
    <w:rPr>
      <w:rFonts w:ascii="Calibri" w:hAnsi="Calibri"/>
      <w:b/>
      <w:sz w:val="28"/>
      <w:szCs w:val="28"/>
    </w:rPr>
  </w:style>
  <w:style w:type="paragraph" w:customStyle="1" w:styleId="Ruth-bullet">
    <w:name w:val="Ruth - bullet"/>
    <w:basedOn w:val="ListParagraph"/>
    <w:link w:val="Ruth-bulletChar"/>
    <w:uiPriority w:val="99"/>
    <w:rsid w:val="001D2D57"/>
    <w:pPr>
      <w:numPr>
        <w:numId w:val="8"/>
      </w:numPr>
    </w:pPr>
    <w:rPr>
      <w:rFonts w:ascii="Calibri" w:hAnsi="Calibri"/>
    </w:rPr>
  </w:style>
  <w:style w:type="character" w:customStyle="1" w:styleId="Ruth-bulletChar">
    <w:name w:val="Ruth - bullet Char"/>
    <w:basedOn w:val="ListParagraphChar"/>
    <w:link w:val="Ruth-bullet"/>
    <w:uiPriority w:val="99"/>
    <w:locked/>
    <w:rsid w:val="001D2D57"/>
    <w:rPr>
      <w:rFonts w:ascii="Calibri" w:hAnsi="Calibri"/>
      <w:sz w:val="24"/>
      <w:szCs w:val="24"/>
    </w:rPr>
  </w:style>
  <w:style w:type="character" w:styleId="Strong">
    <w:name w:val="Strong"/>
    <w:basedOn w:val="DefaultParagraphFont"/>
    <w:uiPriority w:val="99"/>
    <w:qFormat/>
    <w:rsid w:val="003B02A0"/>
    <w:rPr>
      <w:rFonts w:cs="Times New Roman"/>
      <w:b/>
      <w:bCs/>
    </w:rPr>
  </w:style>
  <w:style w:type="paragraph" w:customStyle="1" w:styleId="Normalnos">
    <w:name w:val="Normal + nos"/>
    <w:basedOn w:val="Default"/>
    <w:next w:val="Default"/>
    <w:uiPriority w:val="99"/>
    <w:rsid w:val="00953F44"/>
    <w:pPr>
      <w:spacing w:before="0" w:after="0"/>
    </w:pPr>
    <w:rPr>
      <w:rFonts w:ascii="Tahoma" w:hAnsi="Tahoma" w:cs="Tahoma"/>
      <w:color w:val="auto"/>
    </w:rPr>
  </w:style>
  <w:style w:type="paragraph" w:customStyle="1" w:styleId="italicparaheading0">
    <w:name w:val="italicparaheading"/>
    <w:basedOn w:val="Normal"/>
    <w:uiPriority w:val="99"/>
    <w:rsid w:val="0083640A"/>
    <w:pPr>
      <w:spacing w:before="100" w:beforeAutospacing="1" w:after="100" w:afterAutospacing="1"/>
    </w:pPr>
  </w:style>
  <w:style w:type="character" w:styleId="Emphasis">
    <w:name w:val="Emphasis"/>
    <w:basedOn w:val="DefaultParagraphFont"/>
    <w:uiPriority w:val="99"/>
    <w:qFormat/>
    <w:rsid w:val="0083640A"/>
    <w:rPr>
      <w:rFonts w:cs="Times New Roman"/>
      <w:i/>
      <w:iCs/>
    </w:rPr>
  </w:style>
  <w:style w:type="paragraph" w:customStyle="1" w:styleId="Ruth-paragraphheading">
    <w:name w:val="Ruth - paragraph heading"/>
    <w:basedOn w:val="BodyText"/>
    <w:link w:val="Ruth-paragraphheadingChar"/>
    <w:uiPriority w:val="99"/>
    <w:rsid w:val="002840CA"/>
    <w:pPr>
      <w:spacing w:before="120" w:after="120"/>
      <w:ind w:left="709"/>
    </w:pPr>
    <w:rPr>
      <w:b/>
    </w:rPr>
  </w:style>
  <w:style w:type="character" w:customStyle="1" w:styleId="Ruth-paragraphheadingChar">
    <w:name w:val="Ruth - paragraph heading Char"/>
    <w:basedOn w:val="BodyTextChar"/>
    <w:link w:val="Ruth-paragraphheading"/>
    <w:uiPriority w:val="99"/>
    <w:locked/>
    <w:rsid w:val="002840CA"/>
    <w:rPr>
      <w:rFonts w:ascii="Arial" w:hAnsi="Arial" w:cs="Times New Roman"/>
      <w:b/>
      <w:sz w:val="24"/>
      <w:szCs w:val="24"/>
    </w:rPr>
  </w:style>
  <w:style w:type="numbering" w:customStyle="1" w:styleId="Ruthslist">
    <w:name w:val="Ruth's list"/>
    <w:uiPriority w:val="99"/>
    <w:rsid w:val="0093538E"/>
    <w:pPr>
      <w:numPr>
        <w:numId w:val="9"/>
      </w:numPr>
    </w:pPr>
  </w:style>
  <w:style w:type="character" w:customStyle="1" w:styleId="RuthsnumberedheadingChar">
    <w:name w:val="Ruth's numbered heading Char"/>
    <w:basedOn w:val="DefaultParagraphFont"/>
    <w:link w:val="Ruthsnumberedheading"/>
    <w:uiPriority w:val="99"/>
    <w:locked/>
    <w:rsid w:val="00E90F68"/>
    <w:rPr>
      <w:rFonts w:ascii="Arial" w:hAnsi="Arial" w:cs="Arial"/>
      <w:b/>
      <w:sz w:val="28"/>
      <w:szCs w:val="28"/>
    </w:rPr>
  </w:style>
  <w:style w:type="numbering" w:customStyle="1" w:styleId="Style1">
    <w:name w:val="Style1"/>
    <w:uiPriority w:val="99"/>
    <w:rsid w:val="00D90918"/>
    <w:pPr>
      <w:numPr>
        <w:numId w:val="10"/>
      </w:numPr>
    </w:pPr>
  </w:style>
  <w:style w:type="paragraph" w:customStyle="1" w:styleId="Pa0">
    <w:name w:val="Pa0"/>
    <w:basedOn w:val="Default"/>
    <w:next w:val="Default"/>
    <w:uiPriority w:val="99"/>
    <w:rsid w:val="00F450D3"/>
    <w:pPr>
      <w:spacing w:before="0" w:after="0" w:line="191" w:lineRule="atLeast"/>
    </w:pPr>
    <w:rPr>
      <w:rFonts w:ascii="Verdana" w:hAnsi="Verda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4898">
      <w:bodyDiv w:val="1"/>
      <w:marLeft w:val="0"/>
      <w:marRight w:val="0"/>
      <w:marTop w:val="0"/>
      <w:marBottom w:val="0"/>
      <w:divBdr>
        <w:top w:val="none" w:sz="0" w:space="0" w:color="auto"/>
        <w:left w:val="none" w:sz="0" w:space="0" w:color="auto"/>
        <w:bottom w:val="none" w:sz="0" w:space="0" w:color="auto"/>
        <w:right w:val="none" w:sz="0" w:space="0" w:color="auto"/>
      </w:divBdr>
    </w:div>
    <w:div w:id="453987167">
      <w:marLeft w:val="0"/>
      <w:marRight w:val="0"/>
      <w:marTop w:val="0"/>
      <w:marBottom w:val="0"/>
      <w:divBdr>
        <w:top w:val="none" w:sz="0" w:space="0" w:color="auto"/>
        <w:left w:val="none" w:sz="0" w:space="0" w:color="auto"/>
        <w:bottom w:val="none" w:sz="0" w:space="0" w:color="auto"/>
        <w:right w:val="none" w:sz="0" w:space="0" w:color="auto"/>
      </w:divBdr>
      <w:divsChild>
        <w:div w:id="453987169">
          <w:marLeft w:val="0"/>
          <w:marRight w:val="0"/>
          <w:marTop w:val="0"/>
          <w:marBottom w:val="0"/>
          <w:divBdr>
            <w:top w:val="none" w:sz="0" w:space="0" w:color="auto"/>
            <w:left w:val="none" w:sz="0" w:space="0" w:color="auto"/>
            <w:bottom w:val="none" w:sz="0" w:space="0" w:color="auto"/>
            <w:right w:val="none" w:sz="0" w:space="0" w:color="auto"/>
          </w:divBdr>
        </w:div>
      </w:divsChild>
    </w:div>
    <w:div w:id="453987168">
      <w:marLeft w:val="0"/>
      <w:marRight w:val="0"/>
      <w:marTop w:val="0"/>
      <w:marBottom w:val="0"/>
      <w:divBdr>
        <w:top w:val="none" w:sz="0" w:space="0" w:color="auto"/>
        <w:left w:val="none" w:sz="0" w:space="0" w:color="auto"/>
        <w:bottom w:val="none" w:sz="0" w:space="0" w:color="auto"/>
        <w:right w:val="none" w:sz="0" w:space="0" w:color="auto"/>
      </w:divBdr>
    </w:div>
    <w:div w:id="886841989">
      <w:bodyDiv w:val="1"/>
      <w:marLeft w:val="0"/>
      <w:marRight w:val="0"/>
      <w:marTop w:val="0"/>
      <w:marBottom w:val="0"/>
      <w:divBdr>
        <w:top w:val="none" w:sz="0" w:space="0" w:color="auto"/>
        <w:left w:val="none" w:sz="0" w:space="0" w:color="auto"/>
        <w:bottom w:val="none" w:sz="0" w:space="0" w:color="auto"/>
        <w:right w:val="none" w:sz="0" w:space="0" w:color="auto"/>
      </w:divBdr>
    </w:div>
    <w:div w:id="914709421">
      <w:bodyDiv w:val="1"/>
      <w:marLeft w:val="0"/>
      <w:marRight w:val="0"/>
      <w:marTop w:val="0"/>
      <w:marBottom w:val="0"/>
      <w:divBdr>
        <w:top w:val="none" w:sz="0" w:space="0" w:color="auto"/>
        <w:left w:val="none" w:sz="0" w:space="0" w:color="auto"/>
        <w:bottom w:val="none" w:sz="0" w:space="0" w:color="auto"/>
        <w:right w:val="none" w:sz="0" w:space="0" w:color="auto"/>
      </w:divBdr>
    </w:div>
    <w:div w:id="1508597494">
      <w:bodyDiv w:val="1"/>
      <w:marLeft w:val="0"/>
      <w:marRight w:val="0"/>
      <w:marTop w:val="0"/>
      <w:marBottom w:val="0"/>
      <w:divBdr>
        <w:top w:val="none" w:sz="0" w:space="0" w:color="auto"/>
        <w:left w:val="none" w:sz="0" w:space="0" w:color="auto"/>
        <w:bottom w:val="none" w:sz="0" w:space="0" w:color="auto"/>
        <w:right w:val="none" w:sz="0" w:space="0" w:color="auto"/>
      </w:divBdr>
    </w:div>
    <w:div w:id="20318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mgintranet/ieListDocuments.aspx?CId=728&amp;MId=3009&amp;Ver=4"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AA93-D3E2-44F2-9758-BF1147CD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8378</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Annual report</vt:lpstr>
    </vt:vector>
  </TitlesOfParts>
  <Company>Lancashire County Council</Company>
  <LinksUpToDate>false</LinksUpToDate>
  <CharactersWithSpaces>56021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
  <dc:creator>Ruth Lowry</dc:creator>
  <cp:keywords/>
  <dc:description/>
  <cp:lastModifiedBy>Mather, Chris</cp:lastModifiedBy>
  <cp:revision>2</cp:revision>
  <cp:lastPrinted>2015-05-05T09:49:00Z</cp:lastPrinted>
  <dcterms:created xsi:type="dcterms:W3CDTF">2015-06-24T07:41:00Z</dcterms:created>
  <dcterms:modified xsi:type="dcterms:W3CDTF">2015-06-24T07:41:00Z</dcterms:modified>
</cp:coreProperties>
</file>